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773B">
      <w:pPr>
        <w:pStyle w:val="12"/>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22173035">
      <w:pPr>
        <w:pStyle w:val="12"/>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kern w:val="0"/>
          <w:sz w:val="32"/>
          <w:szCs w:val="32"/>
          <w:lang w:val="en-US" w:eastAsia="zh-CN"/>
        </w:rPr>
      </w:pPr>
    </w:p>
    <w:p w14:paraId="61C62E4C">
      <w:pPr>
        <w:pStyle w:val="12"/>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青海省医疗保障定点零售药店服务协议</w:t>
      </w:r>
    </w:p>
    <w:p w14:paraId="6E134643">
      <w:pPr>
        <w:pStyle w:val="12"/>
        <w:keepNext w:val="0"/>
        <w:keepLines w:val="0"/>
        <w:pageBreakBefore w:val="0"/>
        <w:widowControl w:val="0"/>
        <w:kinsoku/>
        <w:wordWrap/>
        <w:overflowPunct/>
        <w:topLinePunct w:val="0"/>
        <w:bidi w:val="0"/>
        <w:adjustRightInd w:val="0"/>
        <w:snapToGrid w:val="0"/>
        <w:spacing w:line="560" w:lineRule="exact"/>
        <w:ind w:right="0"/>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5修订</w:t>
      </w:r>
      <w:r>
        <w:rPr>
          <w:rFonts w:hint="eastAsia" w:ascii="楷体_GB2312" w:hAnsi="楷体_GB2312" w:eastAsia="楷体_GB2312" w:cs="楷体_GB2312"/>
          <w:kern w:val="0"/>
          <w:sz w:val="32"/>
          <w:szCs w:val="32"/>
        </w:rPr>
        <w:t>版）</w:t>
      </w:r>
    </w:p>
    <w:p w14:paraId="6D43612B">
      <w:pPr>
        <w:pStyle w:val="12"/>
        <w:keepNext w:val="0"/>
        <w:keepLines w:val="0"/>
        <w:pageBreakBefore w:val="0"/>
        <w:widowControl w:val="0"/>
        <w:kinsoku/>
        <w:wordWrap/>
        <w:overflowPunct/>
        <w:topLinePunct w:val="0"/>
        <w:bidi w:val="0"/>
        <w:adjustRightInd w:val="0"/>
        <w:snapToGrid w:val="0"/>
        <w:spacing w:line="560" w:lineRule="exact"/>
        <w:ind w:right="0"/>
        <w:jc w:val="both"/>
        <w:rPr>
          <w:rFonts w:hint="eastAsia" w:ascii="楷体" w:hAnsi="楷体" w:eastAsia="楷体"/>
          <w:kern w:val="0"/>
          <w:sz w:val="32"/>
          <w:szCs w:val="32"/>
        </w:rPr>
      </w:pPr>
    </w:p>
    <w:p w14:paraId="1B4FD7A0">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甲方（医疗保障经办机构）：</w:t>
      </w:r>
      <w:r>
        <w:rPr>
          <w:rFonts w:hint="eastAsia" w:ascii="黑体" w:hAnsi="黑体" w:eastAsia="黑体"/>
          <w:sz w:val="30"/>
          <w:szCs w:val="30"/>
          <w:u w:val="single"/>
        </w:rPr>
        <w:t xml:space="preserve">                  </w:t>
      </w:r>
    </w:p>
    <w:p w14:paraId="008188EA">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医疗保障经办机构代码：</w:t>
      </w:r>
      <w:r>
        <w:rPr>
          <w:rFonts w:hint="eastAsia" w:ascii="黑体" w:hAnsi="黑体" w:eastAsia="黑体"/>
          <w:sz w:val="30"/>
          <w:szCs w:val="30"/>
          <w:u w:val="single"/>
        </w:rPr>
        <w:t xml:space="preserve">                     </w:t>
      </w:r>
    </w:p>
    <w:p w14:paraId="789D6874">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14:paraId="73E63B0B">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p>
    <w:p w14:paraId="7103B8ED">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7A1952CD">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02AB42DB">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p>
    <w:p w14:paraId="73727FB8">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乙方（医疗保障定点零售药店）：</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7906E48E">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定点零售药店医保代码：</w:t>
      </w:r>
      <w:r>
        <w:rPr>
          <w:rFonts w:hint="eastAsia" w:ascii="黑体" w:hAnsi="黑体" w:eastAsia="黑体"/>
          <w:sz w:val="30"/>
          <w:szCs w:val="30"/>
          <w:u w:val="single"/>
        </w:rPr>
        <w:t xml:space="preserve">                       </w:t>
      </w:r>
    </w:p>
    <w:p w14:paraId="5319205C">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14:paraId="12B07244">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1064B1A8">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306803DF">
      <w:pPr>
        <w:pStyle w:val="1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r>
        <w:rPr>
          <w:rFonts w:ascii="黑体" w:hAnsi="黑体" w:eastAsia="黑体"/>
          <w:sz w:val="30"/>
          <w:szCs w:val="30"/>
        </w:rPr>
        <w:t xml:space="preserve">                                 </w:t>
      </w:r>
    </w:p>
    <w:p w14:paraId="641B9FF1">
      <w:pPr>
        <w:pStyle w:val="8"/>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60" w:lineRule="exact"/>
        <w:ind w:right="0"/>
        <w:rPr>
          <w:rFonts w:hint="eastAsia" w:ascii="黑体" w:hAnsi="黑体" w:eastAsia="黑体" w:cs="Times New Roman"/>
          <w:color w:val="auto"/>
          <w:sz w:val="32"/>
          <w:szCs w:val="32"/>
        </w:rPr>
      </w:pPr>
    </w:p>
    <w:p w14:paraId="4BD00002">
      <w:pPr>
        <w:pStyle w:val="8"/>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60" w:lineRule="exact"/>
        <w:ind w:left="0" w:right="0" w:firstLine="640" w:firstLineChars="200"/>
        <w:rPr>
          <w:rFonts w:hint="eastAsia" w:ascii="黑体" w:hAnsi="黑体" w:eastAsia="黑体" w:cs="Times New Roman"/>
          <w:color w:val="auto"/>
          <w:sz w:val="32"/>
          <w:szCs w:val="32"/>
        </w:rPr>
      </w:pPr>
    </w:p>
    <w:p w14:paraId="3F112D66">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r>
        <w:rPr>
          <w:rFonts w:ascii="黑体" w:hAnsi="黑体" w:eastAsia="黑体" w:cs="Times New Roman"/>
          <w:color w:val="auto"/>
          <w:sz w:val="32"/>
          <w:szCs w:val="32"/>
        </w:rPr>
        <w:t>青海省医疗保障局制</w:t>
      </w:r>
    </w:p>
    <w:p w14:paraId="5EAAA6B0">
      <w:pPr>
        <w:pStyle w:val="2"/>
        <w:keepNext w:val="0"/>
        <w:keepLines w:val="0"/>
        <w:pageBreakBefore w:val="0"/>
        <w:wordWrap/>
        <w:overflowPunct/>
        <w:topLinePunct w:val="0"/>
        <w:bidi w:val="0"/>
        <w:adjustRightInd w:val="0"/>
        <w:snapToGrid w:val="0"/>
        <w:spacing w:line="560" w:lineRule="exact"/>
        <w:jc w:val="center"/>
        <w:rPr>
          <w:rFonts w:ascii="黑体" w:hAnsi="黑体" w:eastAsia="黑体" w:cs="Times New Roman"/>
          <w:color w:val="auto"/>
          <w:sz w:val="32"/>
          <w:szCs w:val="32"/>
        </w:rPr>
      </w:pPr>
    </w:p>
    <w:p w14:paraId="79A281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eastAsia="方正小标宋简体"/>
          <w:kern w:val="0"/>
          <w:sz w:val="44"/>
          <w:szCs w:val="44"/>
        </w:rPr>
      </w:pPr>
    </w:p>
    <w:p w14:paraId="7279613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eastAsia="方正小标宋简体"/>
          <w:kern w:val="0"/>
          <w:sz w:val="44"/>
          <w:szCs w:val="44"/>
        </w:rPr>
        <w:sectPr>
          <w:headerReference r:id="rId6" w:type="first"/>
          <w:footerReference r:id="rId9" w:type="first"/>
          <w:footerReference r:id="rId7" w:type="default"/>
          <w:headerReference r:id="rId5" w:type="even"/>
          <w:footerReference r:id="rId8" w:type="even"/>
          <w:pgSz w:w="11906" w:h="16838"/>
          <w:pgMar w:top="2098" w:right="1474" w:bottom="1984" w:left="1587" w:header="0" w:footer="1422" w:gutter="0"/>
          <w:pgNumType w:fmt="numberInDash" w:start="1"/>
          <w:cols w:space="720" w:num="1"/>
        </w:sectPr>
      </w:pPr>
    </w:p>
    <w:p w14:paraId="023515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eastAsia="方正小标宋简体"/>
          <w:kern w:val="0"/>
          <w:sz w:val="44"/>
          <w:szCs w:val="44"/>
        </w:rPr>
      </w:pPr>
      <w:r>
        <w:rPr>
          <w:rFonts w:eastAsia="方正小标宋简体"/>
          <w:kern w:val="0"/>
          <w:sz w:val="44"/>
          <w:szCs w:val="44"/>
        </w:rPr>
        <w:t>青海省医疗保障定点</w:t>
      </w:r>
      <w:r>
        <w:rPr>
          <w:rFonts w:hint="eastAsia" w:eastAsia="方正小标宋简体"/>
          <w:kern w:val="0"/>
          <w:sz w:val="44"/>
          <w:szCs w:val="44"/>
          <w:lang w:eastAsia="zh-CN"/>
        </w:rPr>
        <w:t>零售药店</w:t>
      </w:r>
      <w:r>
        <w:rPr>
          <w:rFonts w:eastAsia="方正小标宋简体"/>
          <w:kern w:val="0"/>
          <w:sz w:val="44"/>
          <w:szCs w:val="44"/>
        </w:rPr>
        <w:t>服务协议</w:t>
      </w:r>
    </w:p>
    <w:p w14:paraId="1CC938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eastAsia="方正小标宋简体"/>
          <w:kern w:val="0"/>
          <w:sz w:val="44"/>
          <w:szCs w:val="44"/>
        </w:rPr>
      </w:pPr>
    </w:p>
    <w:p w14:paraId="6468A1E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为加强和规范医疗保障定点零售药店管理，提高医保基金使用效率，保障参保人员合法权益，根据《中华人民共和国社会保险法》《中华人民共和国药品管理法》《中华人民共和国基本医疗卫生与健康促进法》《医疗保障基金使用监督管理条例》《社会保险经办条例》《基本医疗保险用药管理暂行办法》《零售药店医疗保障定点管理暂行办法》《处方管理办法》等法律法规规章和有关规定，经甲乙双方协商一致，自愿就医疗保障服务有关事宜签订如下医保协议，并承诺共同遵守。</w:t>
      </w:r>
    </w:p>
    <w:p w14:paraId="4F0E0ED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napToGrid/>
          <w:kern w:val="2"/>
          <w:sz w:val="32"/>
          <w:szCs w:val="32"/>
          <w:lang w:val="en-US" w:eastAsia="zh-CN" w:bidi="ar-SA"/>
        </w:rPr>
      </w:pPr>
    </w:p>
    <w:p w14:paraId="419418D6">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line="560" w:lineRule="exact"/>
        <w:ind w:right="0" w:rightChars="0"/>
        <w:jc w:val="center"/>
        <w:textAlignment w:val="baseline"/>
        <w:rPr>
          <w:rFonts w:ascii="Times New Roman" w:hAnsi="Times New Roman"/>
          <w:szCs w:val="32"/>
        </w:rPr>
      </w:pPr>
      <w:r>
        <w:rPr>
          <w:rFonts w:hint="eastAsia" w:ascii="Times New Roman" w:hAnsi="Times New Roman" w:eastAsia="黑体" w:cs="Arial"/>
          <w:bCs/>
          <w:snapToGrid w:val="0"/>
          <w:color w:val="000000"/>
          <w:kern w:val="0"/>
          <w:sz w:val="32"/>
          <w:szCs w:val="32"/>
          <w:lang w:val="en-US" w:eastAsia="en-US" w:bidi="ar-SA"/>
        </w:rPr>
        <w:t>第一章</w:t>
      </w:r>
      <w:r>
        <w:rPr>
          <w:rFonts w:hint="eastAsia" w:ascii="Times New Roman" w:hAnsi="Times New Roman" w:cs="Arial"/>
          <w:bCs/>
          <w:snapToGrid w:val="0"/>
          <w:color w:val="000000"/>
          <w:kern w:val="0"/>
          <w:sz w:val="32"/>
          <w:szCs w:val="32"/>
          <w:lang w:val="en-US" w:eastAsia="zh-CN" w:bidi="ar-SA"/>
        </w:rPr>
        <w:t xml:space="preserve">   </w:t>
      </w:r>
      <w:r>
        <w:rPr>
          <w:rFonts w:hint="eastAsia" w:ascii="Times New Roman" w:hAnsi="Times New Roman"/>
          <w:szCs w:val="32"/>
          <w:lang w:val="en-US" w:eastAsia="zh-CN"/>
        </w:rPr>
        <w:t xml:space="preserve"> </w:t>
      </w:r>
      <w:r>
        <w:rPr>
          <w:rFonts w:ascii="Times New Roman" w:hAnsi="Times New Roman"/>
          <w:szCs w:val="32"/>
        </w:rPr>
        <w:t>总</w:t>
      </w:r>
      <w:r>
        <w:rPr>
          <w:rFonts w:hint="eastAsia" w:ascii="Times New Roman" w:hAnsi="Times New Roman"/>
          <w:szCs w:val="32"/>
          <w:lang w:val="en-US" w:eastAsia="zh-CN"/>
        </w:rPr>
        <w:t xml:space="preserve">   </w:t>
      </w:r>
      <w:r>
        <w:rPr>
          <w:rFonts w:ascii="Times New Roman" w:hAnsi="Times New Roman"/>
          <w:szCs w:val="32"/>
        </w:rPr>
        <w:t>则</w:t>
      </w:r>
    </w:p>
    <w:p w14:paraId="495422A4">
      <w:pPr>
        <w:keepNext w:val="0"/>
        <w:keepLines w:val="0"/>
        <w:pageBreakBefore w:val="0"/>
        <w:numPr>
          <w:ilvl w:val="0"/>
          <w:numId w:val="0"/>
        </w:numPr>
        <w:kinsoku/>
        <w:wordWrap/>
        <w:overflowPunct/>
        <w:topLinePunct w:val="0"/>
        <w:autoSpaceDE w:val="0"/>
        <w:autoSpaceDN w:val="0"/>
        <w:bidi w:val="0"/>
        <w:adjustRightInd w:val="0"/>
        <w:snapToGrid w:val="0"/>
        <w:spacing w:line="560" w:lineRule="exact"/>
        <w:textAlignment w:val="baseline"/>
      </w:pPr>
    </w:p>
    <w:p w14:paraId="71DF61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spacing w:val="0"/>
          <w:sz w:val="32"/>
          <w:szCs w:val="32"/>
          <w:lang w:eastAsia="zh-CN"/>
        </w:rPr>
      </w:pPr>
      <w:r>
        <w:rPr>
          <w:rFonts w:ascii="Times New Roman" w:hAnsi="Times New Roman" w:eastAsia="黑体"/>
          <w:spacing w:val="0"/>
          <w:sz w:val="32"/>
          <w:szCs w:val="32"/>
        </w:rPr>
        <w:t>第一条</w:t>
      </w:r>
      <w:r>
        <w:rPr>
          <w:rFonts w:hint="eastAsia" w:ascii="Times New Roman" w:hAnsi="Times New Roman" w:eastAsia="黑体"/>
          <w:spacing w:val="0"/>
          <w:sz w:val="32"/>
          <w:szCs w:val="32"/>
          <w:lang w:val="en-US" w:eastAsia="zh-CN"/>
        </w:rPr>
        <w:t xml:space="preserve">  </w:t>
      </w:r>
      <w:r>
        <w:rPr>
          <w:rFonts w:ascii="Times New Roman" w:hAnsi="Times New Roman" w:eastAsia="仿宋_GB2312"/>
          <w:spacing w:val="0"/>
          <w:sz w:val="32"/>
          <w:szCs w:val="32"/>
        </w:rPr>
        <w:t>甲方为医疗保障经办机构，乙方为定点零售药店。甲乙双方应当严格执行国家</w:t>
      </w:r>
      <w:r>
        <w:rPr>
          <w:rFonts w:hint="eastAsia" w:ascii="Times New Roman" w:hAnsi="Times New Roman" w:eastAsia="仿宋_GB2312"/>
          <w:spacing w:val="0"/>
          <w:sz w:val="32"/>
          <w:szCs w:val="32"/>
          <w:lang w:eastAsia="zh-CN"/>
        </w:rPr>
        <w:t>和青海省相关</w:t>
      </w:r>
      <w:r>
        <w:rPr>
          <w:rFonts w:ascii="Times New Roman" w:hAnsi="Times New Roman" w:eastAsia="仿宋_GB2312"/>
          <w:spacing w:val="0"/>
          <w:sz w:val="32"/>
          <w:szCs w:val="32"/>
        </w:rPr>
        <w:t>法律</w:t>
      </w:r>
      <w:r>
        <w:rPr>
          <w:rFonts w:hint="eastAsia" w:ascii="Times New Roman" w:hAnsi="Times New Roman" w:eastAsia="仿宋_GB2312"/>
          <w:sz w:val="32"/>
          <w:szCs w:val="32"/>
        </w:rPr>
        <w:t>、</w:t>
      </w:r>
      <w:r>
        <w:rPr>
          <w:rFonts w:ascii="Times New Roman" w:hAnsi="Times New Roman" w:eastAsia="仿宋_GB2312"/>
          <w:spacing w:val="0"/>
          <w:sz w:val="32"/>
          <w:szCs w:val="32"/>
        </w:rPr>
        <w:t>法规</w:t>
      </w:r>
      <w:r>
        <w:rPr>
          <w:rFonts w:hint="eastAsia" w:ascii="Times New Roman" w:hAnsi="Times New Roman" w:eastAsia="仿宋_GB2312"/>
          <w:sz w:val="32"/>
          <w:szCs w:val="32"/>
        </w:rPr>
        <w:t>、</w:t>
      </w:r>
      <w:r>
        <w:rPr>
          <w:rFonts w:ascii="Times New Roman" w:hAnsi="Times New Roman" w:eastAsia="仿宋_GB2312"/>
          <w:spacing w:val="0"/>
          <w:sz w:val="32"/>
          <w:szCs w:val="32"/>
        </w:rPr>
        <w:t>规章及</w:t>
      </w:r>
      <w:r>
        <w:rPr>
          <w:rFonts w:hint="eastAsia" w:ascii="Times New Roman" w:hAnsi="Times New Roman" w:eastAsia="仿宋_GB2312"/>
          <w:spacing w:val="0"/>
          <w:sz w:val="32"/>
          <w:szCs w:val="32"/>
          <w:lang w:eastAsia="zh-CN"/>
        </w:rPr>
        <w:t>相关</w:t>
      </w:r>
      <w:r>
        <w:rPr>
          <w:rFonts w:ascii="Times New Roman" w:hAnsi="Times New Roman" w:eastAsia="仿宋_GB2312"/>
          <w:spacing w:val="0"/>
          <w:sz w:val="32"/>
          <w:szCs w:val="32"/>
        </w:rPr>
        <w:t>政策规定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按本协议约定履行职责、行使权利、承担义务</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保障参保人员依法享受医疗保障待遇，监督对方执行有关法律法规政策和履约情况，向对方提出合理化建议</w:t>
      </w:r>
      <w:r>
        <w:rPr>
          <w:rFonts w:ascii="Times New Roman" w:hAnsi="Times New Roman" w:eastAsia="仿宋_GB2312"/>
          <w:spacing w:val="0"/>
          <w:sz w:val="32"/>
          <w:szCs w:val="32"/>
          <w:highlight w:val="none"/>
        </w:rPr>
        <w:t>。</w:t>
      </w:r>
    </w:p>
    <w:p w14:paraId="175B2B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olor w:val="C00000"/>
          <w:spacing w:val="0"/>
          <w:sz w:val="32"/>
          <w:szCs w:val="32"/>
          <w:lang w:val="en-US" w:eastAsia="zh-CN"/>
        </w:rPr>
      </w:pPr>
      <w:r>
        <w:rPr>
          <w:rFonts w:ascii="Times New Roman" w:hAnsi="Times New Roman" w:eastAsia="黑体"/>
          <w:sz w:val="32"/>
          <w:szCs w:val="32"/>
        </w:rPr>
        <w:t>第二条</w:t>
      </w: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kern w:val="0"/>
          <w:sz w:val="32"/>
          <w:szCs w:val="32"/>
          <w:lang w:eastAsia="zh-CN"/>
        </w:rPr>
        <w:t>乙方为职工、城乡居民医疗保障参保人员及享受其他医疗保障人员（以下简称“参保人员”）提供的医疗保障服务，适用本协议。</w:t>
      </w:r>
      <w:r>
        <w:rPr>
          <w:rFonts w:hint="eastAsia" w:ascii="Times New Roman" w:hAnsi="Times New Roman" w:eastAsia="仿宋_GB2312" w:cs="Times New Roman"/>
          <w:bCs/>
          <w:snapToGrid/>
          <w:kern w:val="0"/>
          <w:sz w:val="32"/>
          <w:szCs w:val="32"/>
          <w:lang w:val="en-US" w:eastAsia="zh-CN" w:bidi="ar-SA"/>
        </w:rPr>
        <w:t>甲方按照法律、法规、规章及相关政策规定对乙方开展医保服务协议管理。</w:t>
      </w:r>
    </w:p>
    <w:p w14:paraId="139D675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三</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甲方享有以下权利</w:t>
      </w:r>
      <w:r>
        <w:rPr>
          <w:rFonts w:hint="eastAsia" w:ascii="Times New Roman" w:hAnsi="Times New Roman" w:eastAsia="仿宋_GB2312"/>
          <w:spacing w:val="0"/>
          <w:sz w:val="32"/>
          <w:szCs w:val="32"/>
          <w:lang w:eastAsia="zh-CN"/>
        </w:rPr>
        <w:t>：</w:t>
      </w:r>
    </w:p>
    <w:p w14:paraId="32965B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（一）掌握乙方的医保基金使用情况</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从乙方获得医保费用审核结算、会计核算、医保绩效考核、协议履行核查所需的信息数据等资料</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以及药品、医用耗材、医疗器械等（以下统称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药械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）数量、价格及追溯码、相关成本、</w:t>
      </w:r>
      <w:r>
        <w:rPr>
          <w:rFonts w:hint="eastAsia" w:ascii="Times New Roman" w:hAnsi="Times New Roman" w:eastAsia="仿宋_GB2312"/>
          <w:spacing w:val="0"/>
          <w:sz w:val="32"/>
          <w:szCs w:val="32"/>
        </w:rPr>
        <w:t>资源</w:t>
      </w:r>
      <w:r>
        <w:rPr>
          <w:rFonts w:ascii="Times New Roman" w:hAnsi="Times New Roman" w:eastAsia="仿宋_GB2312"/>
          <w:spacing w:val="0"/>
          <w:sz w:val="32"/>
          <w:szCs w:val="32"/>
        </w:rPr>
        <w:t>消耗、销售情况等数据资料</w:t>
      </w:r>
      <w:r>
        <w:rPr>
          <w:rFonts w:hint="eastAsia" w:ascii="Times New Roman" w:hAnsi="Times New Roman" w:eastAsia="仿宋_GB2312"/>
          <w:spacing w:val="0"/>
          <w:sz w:val="32"/>
          <w:szCs w:val="32"/>
          <w:lang w:val="en-US" w:eastAsia="zh-CN"/>
        </w:rPr>
        <w:t>；</w:t>
      </w:r>
    </w:p>
    <w:p w14:paraId="4334E43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）获取审核和监管所需数据及支持数据的记录凭证并保护患者隐私，包括但不限于影像记录、扫码记录，以及银行卡、微信、支付宝及其他非现金方式收款记录等；</w:t>
      </w:r>
    </w:p>
    <w:p w14:paraId="3D9E63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（三）有权委托符合条件的第三方机构或专业人员协助开展药械费用审核、检查等；</w:t>
      </w:r>
    </w:p>
    <w:p w14:paraId="6E1568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有权调查、处理乙方违约行为，发现乙方存在违反医保服务协议约定情形的，根据医保服务协议予以相应处理；</w:t>
      </w:r>
    </w:p>
    <w:p w14:paraId="14165FE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olor w:val="00B050"/>
          <w:spacing w:val="0"/>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（五）向卫生健康、中医药、市场监管、药品监管、公安、财政、税务、金融监管、商务等部门以及社会公众</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通报或公开乙方或乙方法定代表人、企业负责人、实际控制人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或乙方为参保人员提供使用医保基金结算的医药服务的主要负责人（即药品经营许可证上的主要负责人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下同）履行医保协议、医保支付资格管理记分、违法违规违约行为处理以及医保绩效考核、信用评价等相关情况</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并要求乙方以甲方认可的方式公开上述相关情况</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4803F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w:t>
      </w:r>
      <w:r>
        <w:rPr>
          <w:rFonts w:hint="eastAsia" w:ascii="Times New Roman" w:hAnsi="Times New Roman" w:eastAsia="仿宋_GB2312" w:cs="Times New Roman"/>
          <w:bCs/>
          <w:snapToGrid/>
          <w:kern w:val="0"/>
          <w:sz w:val="32"/>
          <w:szCs w:val="32"/>
          <w:lang w:val="en-US" w:eastAsia="zh-CN" w:bidi="ar-SA"/>
        </w:rPr>
        <w:t>通过多种方式获取与医药费用有关的行政处罚信息；</w:t>
      </w:r>
    </w:p>
    <w:p w14:paraId="0CD5CD2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spacing w:val="0"/>
          <w:sz w:val="32"/>
          <w:szCs w:val="32"/>
          <w:lang w:val="en-US" w:eastAsia="zh-CN"/>
        </w:rPr>
      </w:pPr>
      <w:r>
        <w:rPr>
          <w:rFonts w:ascii="Times New Roman" w:hAnsi="Times New Roman" w:eastAsia="仿宋_GB2312"/>
          <w:spacing w:val="0"/>
          <w:sz w:val="32"/>
          <w:szCs w:val="32"/>
        </w:rPr>
        <w:t>（七）对乙方为参保人员提供使用医保基金结算的医药服务人</w:t>
      </w:r>
      <w:r>
        <w:rPr>
          <w:rFonts w:hint="eastAsia" w:ascii="Times New Roman" w:hAnsi="Times New Roman" w:eastAsia="仿宋_GB2312"/>
          <w:spacing w:val="0"/>
          <w:sz w:val="32"/>
          <w:szCs w:val="32"/>
          <w:lang w:eastAsia="zh-CN"/>
        </w:rPr>
        <w:t>员</w:t>
      </w:r>
      <w:r>
        <w:rPr>
          <w:rFonts w:ascii="Times New Roman" w:hAnsi="Times New Roman" w:eastAsia="仿宋_GB2312"/>
          <w:spacing w:val="0"/>
          <w:sz w:val="32"/>
          <w:szCs w:val="32"/>
        </w:rPr>
        <w:t>开展医保支付资格管理</w:t>
      </w:r>
      <w:r>
        <w:rPr>
          <w:rFonts w:hint="eastAsia" w:ascii="Times New Roman" w:hAnsi="Times New Roman" w:eastAsia="仿宋_GB2312"/>
          <w:spacing w:val="0"/>
          <w:sz w:val="32"/>
          <w:szCs w:val="32"/>
          <w:lang w:eastAsia="zh-CN"/>
        </w:rPr>
        <w:t>；</w:t>
      </w:r>
    </w:p>
    <w:p w14:paraId="71B53E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（八）要求乙方按期完成需要乙方配合的医保改革任务</w:t>
      </w:r>
      <w:r>
        <w:rPr>
          <w:rFonts w:hint="eastAsia" w:ascii="Times New Roman" w:hAnsi="Times New Roman" w:eastAsia="仿宋_GB2312"/>
          <w:spacing w:val="0"/>
          <w:sz w:val="32"/>
          <w:szCs w:val="32"/>
          <w:lang w:eastAsia="zh-CN"/>
        </w:rPr>
        <w:t>；</w:t>
      </w:r>
    </w:p>
    <w:p w14:paraId="7B7AD1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（九）法律法规和规章规定的其他权利</w:t>
      </w:r>
      <w:r>
        <w:rPr>
          <w:rFonts w:hint="eastAsia" w:ascii="Times New Roman" w:hAnsi="Times New Roman" w:eastAsia="仿宋_GB2312"/>
          <w:spacing w:val="0"/>
          <w:sz w:val="32"/>
          <w:szCs w:val="32"/>
          <w:lang w:eastAsia="zh-CN"/>
        </w:rPr>
        <w:t>。</w:t>
      </w:r>
    </w:p>
    <w:p w14:paraId="6CB2A04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四</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甲方履行以下义务</w:t>
      </w:r>
      <w:r>
        <w:rPr>
          <w:rFonts w:hint="eastAsia" w:ascii="Times New Roman" w:hAnsi="Times New Roman" w:eastAsia="仿宋_GB2312"/>
          <w:spacing w:val="0"/>
          <w:sz w:val="32"/>
          <w:szCs w:val="32"/>
          <w:lang w:eastAsia="zh-CN"/>
        </w:rPr>
        <w:t>：</w:t>
      </w:r>
    </w:p>
    <w:p w14:paraId="0F0C6C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（一）向社会公布签订、中止、终止及解除医保协议的定点零售药店信息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包括名称、地址等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FA8628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二</w:t>
      </w:r>
      <w:r>
        <w:rPr>
          <w:rFonts w:ascii="Times New Roman" w:hAnsi="Times New Roman" w:eastAsia="仿宋_GB2312"/>
          <w:color w:val="000000" w:themeColor="text1"/>
          <w:kern w:val="0"/>
          <w:sz w:val="32"/>
          <w:szCs w:val="32"/>
          <w14:textFill>
            <w14:solidFill>
              <w14:schemeClr w14:val="tx1"/>
            </w14:solidFill>
          </w14:textFill>
        </w:rPr>
        <w:t>）贯彻落实</w:t>
      </w:r>
      <w:r>
        <w:rPr>
          <w:rFonts w:hint="eastAsia" w:ascii="Times New Roman" w:hAnsi="Times New Roman" w:eastAsia="仿宋_GB2312"/>
          <w:color w:val="000000" w:themeColor="text1"/>
          <w:sz w:val="32"/>
          <w:szCs w:val="32"/>
          <w14:textFill>
            <w14:solidFill>
              <w14:schemeClr w14:val="tx1"/>
            </w14:solidFill>
          </w14:textFill>
        </w:rPr>
        <w:t>医疗保障</w:t>
      </w:r>
      <w:r>
        <w:rPr>
          <w:rFonts w:ascii="Times New Roman" w:hAnsi="Times New Roman" w:eastAsia="仿宋_GB2312"/>
          <w:color w:val="000000" w:themeColor="text1"/>
          <w:kern w:val="0"/>
          <w:sz w:val="32"/>
          <w:szCs w:val="32"/>
          <w14:textFill>
            <w14:solidFill>
              <w14:schemeClr w14:val="tx1"/>
            </w14:solidFill>
          </w14:textFill>
        </w:rPr>
        <w:t>政策规定，加强医保基金管理，维护参保人员合法权益；</w:t>
      </w:r>
    </w:p>
    <w:p w14:paraId="11E68B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三</w:t>
      </w:r>
      <w:r>
        <w:rPr>
          <w:rFonts w:ascii="Times New Roman" w:hAnsi="Times New Roman" w:eastAsia="仿宋_GB2312"/>
          <w:spacing w:val="0"/>
          <w:sz w:val="32"/>
          <w:szCs w:val="32"/>
        </w:rPr>
        <w:t>）对乙方申报的费用进行审核</w:t>
      </w:r>
      <w:r>
        <w:rPr>
          <w:rFonts w:hint="eastAsia" w:ascii="Times New Roman" w:hAnsi="Times New Roman" w:eastAsia="仿宋_GB2312"/>
          <w:spacing w:val="0"/>
          <w:sz w:val="32"/>
          <w:szCs w:val="32"/>
          <w:lang w:eastAsia="zh-CN"/>
        </w:rPr>
        <w:t>；</w:t>
      </w:r>
    </w:p>
    <w:p w14:paraId="4B1F146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C00000"/>
          <w:kern w:val="0"/>
          <w:sz w:val="32"/>
          <w:szCs w:val="32"/>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四</w:t>
      </w:r>
      <w:r>
        <w:rPr>
          <w:rFonts w:ascii="Times New Roman" w:hAnsi="Times New Roman" w:eastAsia="仿宋_GB2312"/>
          <w:spacing w:val="0"/>
          <w:sz w:val="32"/>
          <w:szCs w:val="32"/>
        </w:rPr>
        <w:t>）按医保协议约定及时向乙方拨付符合规定的医保费用</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highlight w:val="none"/>
          <w:lang w:val="en-US" w:eastAsia="zh-CN"/>
        </w:rPr>
        <w:t>具体拨付时间由甲方根据实际情况确定</w:t>
      </w:r>
      <w:r>
        <w:rPr>
          <w:rFonts w:hint="eastAsia" w:ascii="Times New Roman" w:hAnsi="Times New Roman" w:eastAsia="仿宋_GB2312"/>
          <w:spacing w:val="0"/>
          <w:sz w:val="32"/>
          <w:szCs w:val="32"/>
          <w:lang w:eastAsia="zh-CN"/>
        </w:rPr>
        <w:t>；</w:t>
      </w:r>
      <w:r>
        <w:rPr>
          <w:rFonts w:ascii="Times New Roman" w:hAnsi="Times New Roman" w:eastAsia="仿宋_GB2312"/>
          <w:color w:val="C00000"/>
          <w:kern w:val="0"/>
          <w:sz w:val="32"/>
          <w:szCs w:val="32"/>
        </w:rPr>
        <w:t xml:space="preserve"> </w:t>
      </w:r>
    </w:p>
    <w:p w14:paraId="349FFA1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pPr>
      <w:r>
        <w:rPr>
          <w:rFonts w:ascii="Times New Roman" w:hAnsi="Times New Roman" w:eastAsia="仿宋_GB2312"/>
          <w:color w:val="000000" w:themeColor="text1"/>
          <w:spacing w:val="0"/>
          <w:sz w:val="32"/>
          <w:szCs w:val="32"/>
          <w:highlight w:val="none"/>
          <w14:textFill>
            <w14:solidFill>
              <w14:schemeClr w14:val="tx1"/>
            </w14:solidFill>
          </w14:textFill>
        </w:rPr>
        <w:t>（五）对乙方开展医保政策、管理制度、</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支付政策、</w:t>
      </w:r>
      <w:r>
        <w:rPr>
          <w:rFonts w:ascii="Times New Roman" w:hAnsi="Times New Roman" w:eastAsia="仿宋_GB2312"/>
          <w:color w:val="000000" w:themeColor="text1"/>
          <w:spacing w:val="0"/>
          <w:sz w:val="32"/>
          <w:szCs w:val="32"/>
          <w:highlight w:val="none"/>
          <w14:textFill>
            <w14:solidFill>
              <w14:schemeClr w14:val="tx1"/>
            </w14:solidFill>
          </w14:textFill>
        </w:rPr>
        <w:t>操作流程的宣传培训</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为乙方提供医疗保障咨询、查询服务</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6534EF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w:t>
      </w:r>
      <w:r>
        <w:rPr>
          <w:rFonts w:ascii="Times New Roman" w:hAnsi="Times New Roman" w:eastAsia="仿宋_GB2312"/>
          <w:color w:val="000000" w:themeColor="text1"/>
          <w:spacing w:val="0"/>
          <w:sz w:val="32"/>
          <w:szCs w:val="32"/>
          <w:highlight w:val="none"/>
          <w14:textFill>
            <w14:solidFill>
              <w14:schemeClr w14:val="tx1"/>
            </w14:solidFill>
          </w14:textFill>
        </w:rPr>
        <w:t>在条件允许时</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向乙方推送涉及药械和参保人员等医保支付相关的风险提示</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3028D8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（七）及时将医保目录管理规定、要求及目录调整结果告知乙方</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指导乙方按期实施</w:t>
      </w:r>
      <w:r>
        <w:rPr>
          <w:rFonts w:hint="eastAsia" w:ascii="Times New Roman" w:hAnsi="Times New Roman" w:eastAsia="仿宋_GB2312"/>
          <w:spacing w:val="0"/>
          <w:sz w:val="32"/>
          <w:szCs w:val="32"/>
          <w:lang w:eastAsia="zh-CN"/>
        </w:rPr>
        <w:t>；</w:t>
      </w:r>
    </w:p>
    <w:p w14:paraId="5933CC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spacing w:val="0"/>
          <w:sz w:val="32"/>
          <w:szCs w:val="32"/>
        </w:rPr>
        <w:t>（八）明确数据质量、审核结论、协议履行核查、考核评价、协商谈判等事项</w:t>
      </w:r>
      <w:r>
        <w:rPr>
          <w:rFonts w:hint="eastAsia" w:ascii="Times New Roman" w:hAnsi="Times New Roman" w:eastAsia="仿宋_GB2312"/>
          <w:spacing w:val="0"/>
          <w:sz w:val="32"/>
          <w:szCs w:val="32"/>
          <w:lang w:eastAsia="zh-CN"/>
        </w:rPr>
        <w:t>；</w:t>
      </w:r>
    </w:p>
    <w:p w14:paraId="6B58736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（九）与乙方建立费用支付、审核结算相关的协商机制</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对乙方的意见建议</w:t>
      </w:r>
      <w:r>
        <w:rPr>
          <w:rFonts w:hint="eastAsia" w:ascii="Times New Roman" w:hAnsi="Times New Roman" w:eastAsia="仿宋_GB2312"/>
          <w:spacing w:val="0"/>
          <w:sz w:val="32"/>
          <w:szCs w:val="32"/>
          <w:highlight w:val="none"/>
          <w:lang w:val="en-US" w:eastAsia="zh-CN"/>
        </w:rPr>
        <w:t>在合理期限内</w:t>
      </w:r>
      <w:r>
        <w:rPr>
          <w:rFonts w:ascii="Times New Roman" w:hAnsi="Times New Roman" w:eastAsia="仿宋_GB2312"/>
          <w:spacing w:val="0"/>
          <w:sz w:val="32"/>
          <w:szCs w:val="32"/>
        </w:rPr>
        <w:t>接收、解答、解释说明</w:t>
      </w:r>
      <w:r>
        <w:rPr>
          <w:rFonts w:hint="eastAsia" w:ascii="Times New Roman" w:hAnsi="Times New Roman" w:eastAsia="仿宋_GB2312"/>
          <w:spacing w:val="0"/>
          <w:sz w:val="32"/>
          <w:szCs w:val="32"/>
          <w:lang w:eastAsia="zh-CN"/>
        </w:rPr>
        <w:t>；</w:t>
      </w:r>
    </w:p>
    <w:p w14:paraId="456068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（十）对作出的违约处理结果向乙方进行解释说明</w:t>
      </w:r>
      <w:r>
        <w:rPr>
          <w:rFonts w:hint="eastAsia" w:ascii="Times New Roman" w:hAnsi="Times New Roman" w:eastAsia="仿宋_GB2312"/>
          <w:spacing w:val="0"/>
          <w:sz w:val="32"/>
          <w:szCs w:val="32"/>
          <w:lang w:eastAsia="zh-CN"/>
        </w:rPr>
        <w:t>；</w:t>
      </w:r>
    </w:p>
    <w:p w14:paraId="7C541B1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（十一）遵守个人信息保护和数据安全有关制度</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保护乙方商业秘密及涉及乙方药械经营相关的数据信息</w:t>
      </w:r>
      <w:r>
        <w:rPr>
          <w:rFonts w:hint="eastAsia" w:ascii="Times New Roman" w:hAnsi="Times New Roman" w:eastAsia="仿宋_GB2312"/>
          <w:spacing w:val="0"/>
          <w:sz w:val="32"/>
          <w:szCs w:val="32"/>
          <w:lang w:eastAsia="zh-CN"/>
        </w:rPr>
        <w:t>；</w:t>
      </w:r>
    </w:p>
    <w:p w14:paraId="3122CE8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（十二）法律</w:t>
      </w:r>
      <w:r>
        <w:rPr>
          <w:rFonts w:hint="eastAsia" w:ascii="Times New Roman" w:hAnsi="Times New Roman" w:eastAsia="仿宋_GB2312"/>
          <w:sz w:val="32"/>
          <w:szCs w:val="32"/>
          <w:u w:val="none"/>
        </w:rPr>
        <w:t>、</w:t>
      </w:r>
      <w:r>
        <w:rPr>
          <w:rFonts w:ascii="Times New Roman" w:hAnsi="Times New Roman" w:eastAsia="仿宋_GB2312"/>
          <w:spacing w:val="0"/>
          <w:sz w:val="32"/>
          <w:szCs w:val="32"/>
        </w:rPr>
        <w:t>法规和规章规定的其他义务</w:t>
      </w:r>
      <w:r>
        <w:rPr>
          <w:rFonts w:hint="eastAsia" w:ascii="Times New Roman" w:hAnsi="Times New Roman" w:eastAsia="仿宋_GB2312"/>
          <w:spacing w:val="0"/>
          <w:sz w:val="32"/>
          <w:szCs w:val="32"/>
          <w:lang w:eastAsia="zh-CN"/>
        </w:rPr>
        <w:t>。</w:t>
      </w:r>
    </w:p>
    <w:p w14:paraId="6D0982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五</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乙方享有以下权利</w:t>
      </w:r>
      <w:r>
        <w:rPr>
          <w:rFonts w:hint="eastAsia" w:ascii="Times New Roman" w:hAnsi="Times New Roman" w:eastAsia="仿宋_GB2312"/>
          <w:spacing w:val="0"/>
          <w:sz w:val="32"/>
          <w:szCs w:val="32"/>
          <w:lang w:eastAsia="zh-CN"/>
        </w:rPr>
        <w:t>：</w:t>
      </w:r>
    </w:p>
    <w:p w14:paraId="2CED583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spacing w:val="0"/>
          <w:sz w:val="32"/>
          <w:szCs w:val="32"/>
        </w:rPr>
        <w:t>（一）按医保协议约定及时获得应由甲方支付的医保费用</w:t>
      </w:r>
      <w:r>
        <w:rPr>
          <w:rFonts w:hint="eastAsia" w:ascii="Times New Roman" w:hAnsi="Times New Roman" w:eastAsia="仿宋_GB2312"/>
          <w:spacing w:val="0"/>
          <w:sz w:val="32"/>
          <w:szCs w:val="32"/>
          <w:lang w:eastAsia="zh-CN"/>
        </w:rPr>
        <w:t>；</w:t>
      </w:r>
    </w:p>
    <w:p w14:paraId="209A2D1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（二）对支付管理政策提出意见建议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对争议费用与甲方沟通、申辩</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或提请同级医疗保障行政部门协调处理</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要求甲方对不予支付的费用进行解释说明</w:t>
      </w:r>
      <w:r>
        <w:rPr>
          <w:rFonts w:hint="eastAsia" w:ascii="Times New Roman" w:hAnsi="Times New Roman" w:eastAsia="仿宋_GB2312"/>
          <w:spacing w:val="0"/>
          <w:sz w:val="32"/>
          <w:szCs w:val="32"/>
          <w:lang w:eastAsia="zh-CN"/>
        </w:rPr>
        <w:t>；</w:t>
      </w:r>
    </w:p>
    <w:p w14:paraId="1D2976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（三）要求甲方对作出的违约处理结果进行解释说明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对甲方的核查及处理进行陈述、申辩</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对处理结果仍有异议的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有权向医疗保障行政部门提请协调处理</w:t>
      </w:r>
      <w:r>
        <w:rPr>
          <w:rFonts w:hint="eastAsia" w:ascii="Times New Roman" w:hAnsi="Times New Roman" w:eastAsia="仿宋_GB2312"/>
          <w:spacing w:val="0"/>
          <w:sz w:val="32"/>
          <w:szCs w:val="32"/>
          <w:lang w:eastAsia="zh-CN"/>
        </w:rPr>
        <w:t>；</w:t>
      </w:r>
    </w:p>
    <w:p w14:paraId="6755D85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（四）对甲方履约情况进行监督</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举报或投诉甲方及工作人员的违法违纪违规行为</w:t>
      </w:r>
      <w:r>
        <w:rPr>
          <w:rFonts w:hint="eastAsia" w:ascii="Times New Roman" w:hAnsi="Times New Roman" w:eastAsia="仿宋_GB2312"/>
          <w:spacing w:val="0"/>
          <w:sz w:val="32"/>
          <w:szCs w:val="32"/>
          <w:lang w:eastAsia="zh-CN"/>
        </w:rPr>
        <w:t>；</w:t>
      </w:r>
    </w:p>
    <w:p w14:paraId="522A98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（五）甲方违反医保协议的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有权要求甲方纠正或者提请医疗保障行政部门协调处理、督促整改</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也可以依法申请行政复议或者提起行政诉讼</w:t>
      </w:r>
      <w:r>
        <w:rPr>
          <w:rFonts w:hint="eastAsia" w:ascii="Times New Roman" w:hAnsi="Times New Roman" w:eastAsia="仿宋_GB2312"/>
          <w:spacing w:val="0"/>
          <w:sz w:val="32"/>
          <w:szCs w:val="32"/>
          <w:lang w:eastAsia="zh-CN"/>
        </w:rPr>
        <w:t>；</w:t>
      </w:r>
    </w:p>
    <w:p w14:paraId="6E77A06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（六）及时获知医保政策、费用结算流程等调整情况</w:t>
      </w:r>
      <w:r>
        <w:rPr>
          <w:rFonts w:hint="eastAsia" w:ascii="Times New Roman" w:hAnsi="Times New Roman" w:eastAsia="仿宋_GB2312"/>
          <w:spacing w:val="0"/>
          <w:sz w:val="32"/>
          <w:szCs w:val="32"/>
          <w:lang w:eastAsia="zh-CN"/>
        </w:rPr>
        <w:t>；</w:t>
      </w:r>
    </w:p>
    <w:p w14:paraId="2B69081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七</w:t>
      </w:r>
      <w:r>
        <w:rPr>
          <w:rFonts w:ascii="Times New Roman" w:hAnsi="Times New Roman" w:eastAsia="仿宋_GB2312"/>
          <w:spacing w:val="0"/>
          <w:sz w:val="32"/>
          <w:szCs w:val="32"/>
        </w:rPr>
        <w:t>）法律</w:t>
      </w:r>
      <w:r>
        <w:rPr>
          <w:rFonts w:hint="eastAsia" w:ascii="Times New Roman" w:hAnsi="Times New Roman" w:eastAsia="仿宋_GB2312"/>
          <w:sz w:val="32"/>
          <w:szCs w:val="32"/>
          <w:u w:val="none"/>
        </w:rPr>
        <w:t>、</w:t>
      </w:r>
      <w:r>
        <w:rPr>
          <w:rFonts w:ascii="Times New Roman" w:hAnsi="Times New Roman" w:eastAsia="仿宋_GB2312"/>
          <w:spacing w:val="0"/>
          <w:sz w:val="32"/>
          <w:szCs w:val="32"/>
        </w:rPr>
        <w:t>法规和规章规定的其他权利</w:t>
      </w:r>
      <w:r>
        <w:rPr>
          <w:rFonts w:hint="eastAsia" w:ascii="Times New Roman" w:hAnsi="Times New Roman" w:eastAsia="仿宋_GB2312"/>
          <w:spacing w:val="0"/>
          <w:sz w:val="32"/>
          <w:szCs w:val="32"/>
          <w:lang w:eastAsia="zh-CN"/>
        </w:rPr>
        <w:t>。</w:t>
      </w:r>
    </w:p>
    <w:p w14:paraId="3AC126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六</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乙方履行以下义务</w:t>
      </w:r>
      <w:r>
        <w:rPr>
          <w:rFonts w:hint="eastAsia" w:ascii="Times New Roman" w:hAnsi="Times New Roman" w:eastAsia="仿宋_GB2312"/>
          <w:spacing w:val="0"/>
          <w:sz w:val="32"/>
          <w:szCs w:val="32"/>
          <w:lang w:eastAsia="zh-CN"/>
        </w:rPr>
        <w:t>：</w:t>
      </w:r>
    </w:p>
    <w:p w14:paraId="56F80D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（一）在显著位置悬挂</w:t>
      </w:r>
      <w:r>
        <w:rPr>
          <w:rFonts w:hint="eastAsia" w:ascii="Times New Roman" w:hAnsi="Times New Roman" w:eastAsia="仿宋_GB2312"/>
          <w:spacing w:val="0"/>
          <w:sz w:val="32"/>
          <w:szCs w:val="32"/>
          <w:lang w:val="en-US" w:eastAsia="zh-CN"/>
        </w:rPr>
        <w:t>甲方统一制定的定点零售药店标牌</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设置医疗保障政策宣传栏</w:t>
      </w:r>
      <w:r>
        <w:rPr>
          <w:rFonts w:hint="eastAsia" w:ascii="Times New Roman" w:hAnsi="Times New Roman" w:eastAsia="仿宋_GB2312"/>
          <w:spacing w:val="0"/>
          <w:sz w:val="32"/>
          <w:szCs w:val="32"/>
        </w:rPr>
        <w:t>和意见箱</w:t>
      </w:r>
      <w:r>
        <w:rPr>
          <w:rFonts w:ascii="Times New Roman" w:hAnsi="Times New Roman" w:eastAsia="仿宋_GB2312"/>
          <w:spacing w:val="0"/>
          <w:sz w:val="32"/>
          <w:szCs w:val="32"/>
        </w:rPr>
        <w:t>，推广医保</w:t>
      </w:r>
      <w:r>
        <w:rPr>
          <w:rFonts w:hint="eastAsia" w:ascii="Times New Roman" w:hAnsi="Times New Roman" w:eastAsia="仿宋_GB2312"/>
          <w:spacing w:val="0"/>
          <w:sz w:val="32"/>
          <w:szCs w:val="32"/>
        </w:rPr>
        <w:t>码</w:t>
      </w:r>
      <w:r>
        <w:rPr>
          <w:rFonts w:ascii="Times New Roman" w:hAnsi="Times New Roman" w:eastAsia="仿宋_GB2312"/>
          <w:spacing w:val="0"/>
          <w:sz w:val="32"/>
          <w:szCs w:val="32"/>
        </w:rPr>
        <w:t>使用；</w:t>
      </w:r>
    </w:p>
    <w:p w14:paraId="5E76A5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rPr>
        <w:t>（二）根据甲方要求</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展示甲方对乙方或乙方相关人员的考核结果</w:t>
      </w:r>
      <w:r>
        <w:rPr>
          <w:rFonts w:hint="eastAsia" w:ascii="Times New Roman" w:hAnsi="Times New Roman" w:eastAsia="仿宋_GB2312"/>
          <w:spacing w:val="0"/>
          <w:sz w:val="32"/>
          <w:szCs w:val="32"/>
          <w:lang w:eastAsia="zh-CN"/>
        </w:rPr>
        <w:t>；</w:t>
      </w:r>
    </w:p>
    <w:p w14:paraId="15E89E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cs="Times New Roman"/>
          <w:bCs/>
          <w:snapToGrid/>
          <w:kern w:val="0"/>
          <w:sz w:val="32"/>
          <w:szCs w:val="32"/>
          <w:lang w:val="en-US" w:eastAsia="zh-CN" w:bidi="ar-SA"/>
        </w:rPr>
        <w:t>（三）根据甲方要求，在费用所属期审核工作完成后30个工作日内申请对账；</w:t>
      </w:r>
    </w:p>
    <w:p w14:paraId="01B40C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（四）根据甲方提供的风险提示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共同防范欺诈骗保行为</w:t>
      </w:r>
      <w:r>
        <w:rPr>
          <w:rFonts w:hint="eastAsia" w:ascii="Times New Roman" w:hAnsi="Times New Roman" w:eastAsia="仿宋_GB2312"/>
          <w:spacing w:val="0"/>
          <w:sz w:val="32"/>
          <w:szCs w:val="32"/>
          <w:lang w:eastAsia="zh-CN"/>
        </w:rPr>
        <w:t>；</w:t>
      </w:r>
    </w:p>
    <w:p w14:paraId="7368BD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ascii="Times New Roman" w:hAnsi="Times New Roman" w:eastAsia="仿宋_GB2312"/>
          <w:spacing w:val="0"/>
          <w:sz w:val="32"/>
          <w:szCs w:val="32"/>
          <w:highlight w:val="none"/>
        </w:rPr>
        <w:t>五</w:t>
      </w:r>
      <w:r>
        <w:rPr>
          <w:rFonts w:ascii="Times New Roman" w:hAnsi="Times New Roman" w:eastAsia="仿宋_GB2312"/>
          <w:spacing w:val="0"/>
          <w:sz w:val="32"/>
          <w:szCs w:val="32"/>
        </w:rPr>
        <w:t>）执行符合医保协议管理要求的医保药械管理制度、财务管理制度、医保人员管理制度、统计信息管理制度和医保费用结算制度</w:t>
      </w:r>
      <w:r>
        <w:rPr>
          <w:rFonts w:hint="eastAsia" w:ascii="Times New Roman" w:hAnsi="Times New Roman" w:eastAsia="仿宋_GB2312"/>
          <w:spacing w:val="0"/>
          <w:sz w:val="32"/>
          <w:szCs w:val="32"/>
          <w:lang w:eastAsia="zh-CN"/>
        </w:rPr>
        <w:t>；</w:t>
      </w:r>
    </w:p>
    <w:p w14:paraId="408706A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Times New Roman" w:hAnsi="Times New Roman" w:eastAsia="仿宋_GB2312"/>
          <w:spacing w:val="0"/>
          <w:sz w:val="32"/>
          <w:szCs w:val="32"/>
          <w:highlight w:val="none"/>
        </w:rPr>
      </w:pPr>
      <w:r>
        <w:rPr>
          <w:rFonts w:ascii="Times New Roman" w:hAnsi="Times New Roman" w:eastAsia="仿宋_GB2312"/>
          <w:spacing w:val="0"/>
          <w:sz w:val="32"/>
          <w:szCs w:val="32"/>
          <w:highlight w:val="none"/>
        </w:rPr>
        <w:t>（</w:t>
      </w:r>
      <w:r>
        <w:rPr>
          <w:rFonts w:hint="eastAsia" w:ascii="Times New Roman" w:hAnsi="Times New Roman" w:eastAsia="仿宋_GB2312"/>
          <w:spacing w:val="0"/>
          <w:sz w:val="32"/>
          <w:szCs w:val="32"/>
          <w:lang w:val="en-US" w:eastAsia="zh-CN"/>
        </w:rPr>
        <w:t>六</w:t>
      </w:r>
      <w:r>
        <w:rPr>
          <w:rFonts w:ascii="Times New Roman" w:hAnsi="Times New Roman" w:eastAsia="仿宋_GB2312"/>
          <w:spacing w:val="0"/>
          <w:sz w:val="32"/>
          <w:szCs w:val="32"/>
          <w:highlight w:val="none"/>
        </w:rPr>
        <w:t>）</w:t>
      </w:r>
      <w:r>
        <w:rPr>
          <w:rFonts w:hint="eastAsia" w:ascii="Times New Roman" w:hAnsi="Times New Roman" w:eastAsia="仿宋_GB2312"/>
          <w:spacing w:val="0"/>
          <w:sz w:val="32"/>
          <w:szCs w:val="32"/>
          <w:highlight w:val="none"/>
          <w:lang w:eastAsia="zh-CN"/>
        </w:rPr>
        <w:t>乙方须按要求使用甲方提供的</w:t>
      </w:r>
      <w:r>
        <w:rPr>
          <w:rFonts w:hint="eastAsia" w:ascii="Times New Roman" w:hAnsi="Times New Roman" w:eastAsia="仿宋_GB2312"/>
          <w:spacing w:val="0"/>
          <w:sz w:val="32"/>
          <w:szCs w:val="32"/>
          <w:highlight w:val="none"/>
          <w:lang w:val="en-US" w:eastAsia="zh-CN"/>
        </w:rPr>
        <w:t>医保信息系统</w:t>
      </w:r>
      <w:r>
        <w:rPr>
          <w:rFonts w:hint="eastAsia" w:ascii="Times New Roman" w:hAnsi="Times New Roman" w:eastAsia="仿宋_GB2312"/>
          <w:spacing w:val="0"/>
          <w:sz w:val="32"/>
          <w:szCs w:val="32"/>
          <w:highlight w:val="none"/>
          <w:lang w:eastAsia="zh-CN"/>
        </w:rPr>
        <w:t>；</w:t>
      </w:r>
    </w:p>
    <w:p w14:paraId="028EC54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cs="Arial"/>
          <w:snapToGrid w:val="0"/>
          <w:color w:val="000000"/>
          <w:spacing w:val="0"/>
          <w:kern w:val="0"/>
          <w:sz w:val="32"/>
          <w:szCs w:val="32"/>
          <w:lang w:val="en-US" w:eastAsia="zh-CN" w:bidi="ar-SA"/>
        </w:rPr>
        <w:t>七</w:t>
      </w:r>
      <w:r>
        <w:rPr>
          <w:rFonts w:ascii="Times New Roman" w:hAnsi="Times New Roman" w:eastAsia="仿宋_GB2312"/>
          <w:spacing w:val="0"/>
          <w:sz w:val="32"/>
          <w:szCs w:val="32"/>
        </w:rPr>
        <w:t>）落实医保目录管理相关要求</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并主动接受监督</w:t>
      </w:r>
      <w:r>
        <w:rPr>
          <w:rFonts w:hint="eastAsia" w:ascii="Times New Roman" w:hAnsi="Times New Roman" w:eastAsia="仿宋_GB2312"/>
          <w:spacing w:val="0"/>
          <w:sz w:val="32"/>
          <w:szCs w:val="32"/>
          <w:lang w:eastAsia="zh-CN"/>
        </w:rPr>
        <w:t>；</w:t>
      </w:r>
    </w:p>
    <w:p w14:paraId="581B2A0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color w:val="C00000"/>
          <w:spacing w:val="0"/>
          <w:sz w:val="32"/>
          <w:szCs w:val="32"/>
          <w:lang w:eastAsia="zh-CN"/>
        </w:rPr>
      </w:pPr>
      <w:r>
        <w:rPr>
          <w:rFonts w:ascii="Times New Roman" w:hAnsi="Times New Roman" w:eastAsia="仿宋_GB2312" w:cs="Arial"/>
          <w:snapToGrid w:val="0"/>
          <w:color w:val="000000"/>
          <w:spacing w:val="0"/>
          <w:kern w:val="0"/>
          <w:sz w:val="32"/>
          <w:szCs w:val="32"/>
          <w:lang w:val="en-US" w:eastAsia="en-US" w:bidi="ar-SA"/>
        </w:rPr>
        <w:t>（</w:t>
      </w:r>
      <w:r>
        <w:rPr>
          <w:rFonts w:hint="eastAsia" w:ascii="Times New Roman" w:hAnsi="Times New Roman" w:eastAsia="仿宋_GB2312" w:cs="微软雅黑"/>
          <w:snapToGrid w:val="0"/>
          <w:color w:val="000000"/>
          <w:spacing w:val="0"/>
          <w:kern w:val="0"/>
          <w:sz w:val="32"/>
          <w:szCs w:val="32"/>
          <w:lang w:val="en-US" w:eastAsia="zh-CN" w:bidi="ar-SA"/>
        </w:rPr>
        <w:t>八</w:t>
      </w:r>
      <w:r>
        <w:rPr>
          <w:rFonts w:ascii="Times New Roman" w:hAnsi="Times New Roman" w:eastAsia="仿宋_GB2312" w:cs="Arial"/>
          <w:snapToGrid w:val="0"/>
          <w:color w:val="000000"/>
          <w:spacing w:val="0"/>
          <w:kern w:val="0"/>
          <w:sz w:val="32"/>
          <w:szCs w:val="32"/>
          <w:lang w:val="en-US" w:eastAsia="en-US" w:bidi="ar-SA"/>
        </w:rPr>
        <w:t>）</w:t>
      </w:r>
      <w:r>
        <w:rPr>
          <w:rFonts w:ascii="Times New Roman" w:hAnsi="Times New Roman" w:eastAsia="仿宋_GB2312"/>
          <w:spacing w:val="0"/>
          <w:sz w:val="32"/>
          <w:szCs w:val="32"/>
        </w:rPr>
        <w:t>至少配备2名熟悉医疗保障法律法规和相关制度规定的专职或兼职医保管理人员负责</w:t>
      </w:r>
      <w:r>
        <w:rPr>
          <w:rFonts w:hint="eastAsia" w:ascii="Times New Roman" w:hAnsi="Times New Roman" w:eastAsia="仿宋_GB2312"/>
          <w:spacing w:val="0"/>
          <w:sz w:val="32"/>
          <w:szCs w:val="32"/>
        </w:rPr>
        <w:t>医保基金使用</w:t>
      </w:r>
      <w:r>
        <w:rPr>
          <w:rFonts w:ascii="Times New Roman" w:hAnsi="Times New Roman" w:eastAsia="仿宋_GB2312"/>
          <w:spacing w:val="0"/>
          <w:sz w:val="32"/>
          <w:szCs w:val="32"/>
        </w:rPr>
        <w:t>管理</w:t>
      </w:r>
      <w:r>
        <w:rPr>
          <w:rFonts w:hint="eastAsia" w:ascii="Times New Roman" w:hAnsi="Times New Roman" w:eastAsia="仿宋_GB2312"/>
          <w:spacing w:val="0"/>
          <w:sz w:val="32"/>
          <w:szCs w:val="32"/>
        </w:rPr>
        <w:t>工作</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highlight w:val="none"/>
          <w:lang w:val="en-US" w:eastAsia="zh-CN"/>
        </w:rPr>
        <w:t>并签订1年以上劳动合同且在合同期内</w:t>
      </w:r>
      <w:r>
        <w:rPr>
          <w:rFonts w:ascii="Times New Roman" w:hAnsi="Times New Roman" w:eastAsia="仿宋_GB2312"/>
          <w:spacing w:val="0"/>
          <w:sz w:val="32"/>
          <w:szCs w:val="32"/>
        </w:rPr>
        <w:t>；</w:t>
      </w:r>
    </w:p>
    <w:p w14:paraId="1EF9C1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s="微软雅黑"/>
          <w:snapToGrid w:val="0"/>
          <w:color w:val="000000"/>
          <w:spacing w:val="0"/>
          <w:kern w:val="0"/>
          <w:sz w:val="32"/>
          <w:szCs w:val="32"/>
          <w:lang w:val="en-US" w:eastAsia="en-US" w:bidi="ar-SA"/>
        </w:rPr>
        <w:t>（</w:t>
      </w:r>
      <w:r>
        <w:rPr>
          <w:rFonts w:hint="eastAsia" w:ascii="Times New Roman" w:hAnsi="Times New Roman" w:eastAsia="仿宋_GB2312"/>
          <w:spacing w:val="0"/>
          <w:sz w:val="32"/>
          <w:szCs w:val="32"/>
          <w:lang w:val="en-US" w:eastAsia="zh-CN"/>
        </w:rPr>
        <w:t>九</w:t>
      </w:r>
      <w:r>
        <w:rPr>
          <w:rFonts w:ascii="Times New Roman" w:hAnsi="Times New Roman" w:eastAsia="仿宋_GB2312" w:cs="微软雅黑"/>
          <w:snapToGrid w:val="0"/>
          <w:color w:val="000000"/>
          <w:spacing w:val="0"/>
          <w:kern w:val="0"/>
          <w:sz w:val="32"/>
          <w:szCs w:val="32"/>
          <w:lang w:val="en-US" w:eastAsia="en-US" w:bidi="ar-SA"/>
        </w:rPr>
        <w:t>）</w:t>
      </w:r>
      <w:r>
        <w:rPr>
          <w:rFonts w:ascii="Times New Roman" w:hAnsi="Times New Roman" w:eastAsia="仿宋_GB2312" w:cs="Arial"/>
          <w:snapToGrid w:val="0"/>
          <w:color w:val="000000"/>
          <w:spacing w:val="0"/>
          <w:kern w:val="0"/>
          <w:sz w:val="32"/>
          <w:szCs w:val="32"/>
          <w:lang w:val="en-US" w:eastAsia="en-US" w:bidi="ar-SA"/>
        </w:rPr>
        <w:t>严格遵守医疗保障、卫生健康、中医药、市场监管、药品监管、公安、财政、税务、金融监管、商务等部门有关政策和管理要求</w:t>
      </w:r>
      <w:r>
        <w:rPr>
          <w:rFonts w:hint="eastAsia" w:ascii="Times New Roman" w:hAnsi="Times New Roman" w:eastAsia="仿宋_GB2312" w:cs="Arial"/>
          <w:snapToGrid w:val="0"/>
          <w:color w:val="000000"/>
          <w:spacing w:val="0"/>
          <w:kern w:val="0"/>
          <w:sz w:val="32"/>
          <w:szCs w:val="32"/>
          <w:lang w:val="en-US" w:eastAsia="zh-CN" w:bidi="ar-SA"/>
        </w:rPr>
        <w:t>；</w:t>
      </w:r>
    </w:p>
    <w:p w14:paraId="1C4E1B1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微软雅黑"/>
          <w:snapToGrid w:val="0"/>
          <w:color w:val="000000"/>
          <w:spacing w:val="0"/>
          <w:kern w:val="0"/>
          <w:sz w:val="32"/>
          <w:szCs w:val="32"/>
          <w:lang w:val="en-US" w:eastAsia="zh-CN" w:bidi="ar-SA"/>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十</w:t>
      </w:r>
      <w:r>
        <w:rPr>
          <w:rFonts w:ascii="Times New Roman" w:hAnsi="Times New Roman" w:eastAsia="仿宋_GB2312"/>
          <w:spacing w:val="0"/>
          <w:sz w:val="32"/>
          <w:szCs w:val="32"/>
        </w:rPr>
        <w:t>）</w:t>
      </w:r>
      <w:r>
        <w:rPr>
          <w:rFonts w:ascii="Times New Roman" w:hAnsi="Times New Roman" w:eastAsia="仿宋_GB2312" w:cs="微软雅黑"/>
          <w:snapToGrid w:val="0"/>
          <w:color w:val="000000"/>
          <w:spacing w:val="0"/>
          <w:kern w:val="0"/>
          <w:sz w:val="32"/>
          <w:szCs w:val="32"/>
          <w:lang w:val="en-US" w:eastAsia="en-US" w:bidi="ar-SA"/>
        </w:rPr>
        <w:t>营业时间至少有1名取得执业药师资格或</w:t>
      </w:r>
      <w:r>
        <w:rPr>
          <w:rFonts w:hint="eastAsia" w:ascii="Times New Roman" w:hAnsi="Times New Roman" w:eastAsia="仿宋_GB2312" w:cs="微软雅黑"/>
          <w:snapToGrid w:val="0"/>
          <w:color w:val="000000"/>
          <w:spacing w:val="0"/>
          <w:kern w:val="0"/>
          <w:sz w:val="32"/>
          <w:szCs w:val="32"/>
          <w:lang w:val="en-US" w:eastAsia="zh-CN" w:bidi="ar-SA"/>
        </w:rPr>
        <w:t>依法经过资格认定的其他药学技术人员</w:t>
      </w:r>
      <w:r>
        <w:rPr>
          <w:rFonts w:ascii="Times New Roman" w:hAnsi="Times New Roman" w:eastAsia="仿宋_GB2312" w:cs="微软雅黑"/>
          <w:snapToGrid w:val="0"/>
          <w:color w:val="000000"/>
          <w:spacing w:val="0"/>
          <w:kern w:val="0"/>
          <w:sz w:val="32"/>
          <w:szCs w:val="32"/>
          <w:lang w:val="en-US" w:eastAsia="en-US" w:bidi="ar-SA"/>
        </w:rPr>
        <w:t>在岗，且注册</w:t>
      </w:r>
      <w:r>
        <w:rPr>
          <w:rFonts w:hint="eastAsia" w:ascii="Times New Roman" w:hAnsi="Times New Roman" w:eastAsia="仿宋_GB2312" w:cs="微软雅黑"/>
          <w:snapToGrid w:val="0"/>
          <w:color w:val="000000"/>
          <w:spacing w:val="0"/>
          <w:kern w:val="0"/>
          <w:sz w:val="32"/>
          <w:szCs w:val="32"/>
          <w:lang w:val="en-US" w:eastAsia="zh-CN" w:bidi="ar-SA"/>
        </w:rPr>
        <w:t>机构与执业机构应当相符</w:t>
      </w:r>
      <w:r>
        <w:rPr>
          <w:rFonts w:hint="eastAsia" w:ascii="Times New Roman" w:hAnsi="Times New Roman" w:eastAsia="仿宋_GB2312" w:cs="微软雅黑"/>
          <w:snapToGrid w:val="0"/>
          <w:color w:val="000000"/>
          <w:spacing w:val="0"/>
          <w:kern w:val="0"/>
          <w:sz w:val="32"/>
          <w:szCs w:val="32"/>
          <w:lang w:val="en-US" w:eastAsia="en-US" w:bidi="ar-SA"/>
        </w:rPr>
        <w:t>；</w:t>
      </w:r>
      <w:r>
        <w:rPr>
          <w:rFonts w:hint="eastAsia" w:ascii="Times New Roman" w:hAnsi="Times New Roman" w:eastAsia="仿宋_GB2312" w:cs="微软雅黑"/>
          <w:snapToGrid w:val="0"/>
          <w:color w:val="000000"/>
          <w:spacing w:val="0"/>
          <w:kern w:val="0"/>
          <w:sz w:val="32"/>
          <w:szCs w:val="32"/>
          <w:lang w:val="en-US" w:eastAsia="zh-CN" w:bidi="ar-SA"/>
        </w:rPr>
        <w:t>乙方应确保执业药师或药学技术人员在岗期间履行其职责</w:t>
      </w:r>
    </w:p>
    <w:p w14:paraId="0B537CD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cs="微软雅黑"/>
          <w:snapToGrid w:val="0"/>
          <w:color w:val="000000"/>
          <w:spacing w:val="0"/>
          <w:kern w:val="0"/>
          <w:sz w:val="32"/>
          <w:szCs w:val="32"/>
          <w:lang w:val="en-US" w:eastAsia="zh-CN" w:bidi="ar-SA"/>
        </w:rPr>
        <w:t>十一</w:t>
      </w:r>
      <w:r>
        <w:rPr>
          <w:rFonts w:ascii="Times New Roman" w:hAnsi="Times New Roman" w:eastAsia="仿宋_GB2312"/>
          <w:spacing w:val="0"/>
          <w:sz w:val="32"/>
          <w:szCs w:val="32"/>
        </w:rPr>
        <w:t>）符合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中华人民共和国税收征收管理法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中华人民</w:t>
      </w:r>
      <w:r>
        <w:rPr>
          <w:rFonts w:hint="eastAsia" w:ascii="Times New Roman" w:hAnsi="Times New Roman" w:eastAsia="仿宋_GB2312"/>
          <w:spacing w:val="0"/>
          <w:sz w:val="32"/>
          <w:szCs w:val="32"/>
          <w:lang w:val="en-US" w:eastAsia="zh-CN"/>
        </w:rPr>
        <w:t>共和国</w:t>
      </w:r>
      <w:r>
        <w:rPr>
          <w:rFonts w:ascii="Times New Roman" w:hAnsi="Times New Roman" w:eastAsia="仿宋_GB2312"/>
          <w:spacing w:val="0"/>
          <w:sz w:val="32"/>
          <w:szCs w:val="32"/>
        </w:rPr>
        <w:t>企业所得税法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中华人民共和国个人所得税法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人民币银行结算账户管理办法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会计档案管理办法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等相关管理规定</w:t>
      </w:r>
      <w:r>
        <w:rPr>
          <w:rFonts w:hint="eastAsia" w:ascii="Times New Roman" w:hAnsi="Times New Roman" w:eastAsia="仿宋_GB2312"/>
          <w:spacing w:val="0"/>
          <w:sz w:val="32"/>
          <w:szCs w:val="32"/>
          <w:lang w:eastAsia="zh-CN"/>
        </w:rPr>
        <w:t>；</w:t>
      </w:r>
    </w:p>
    <w:p w14:paraId="045680E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s="微软雅黑"/>
          <w:snapToGrid w:val="0"/>
          <w:color w:val="000000"/>
          <w:spacing w:val="0"/>
          <w:kern w:val="0"/>
          <w:sz w:val="32"/>
          <w:szCs w:val="32"/>
          <w:lang w:val="en-US" w:eastAsia="en-US" w:bidi="ar-SA"/>
        </w:rPr>
        <w:t>（</w:t>
      </w:r>
      <w:r>
        <w:rPr>
          <w:rFonts w:hint="eastAsia" w:ascii="Times New Roman" w:hAnsi="Times New Roman" w:eastAsia="仿宋_GB2312"/>
          <w:spacing w:val="0"/>
          <w:sz w:val="32"/>
          <w:szCs w:val="32"/>
          <w:lang w:val="en-US" w:eastAsia="zh-CN"/>
        </w:rPr>
        <w:t>十二</w:t>
      </w:r>
      <w:r>
        <w:rPr>
          <w:rFonts w:ascii="Times New Roman" w:hAnsi="Times New Roman" w:eastAsia="仿宋_GB2312" w:cs="微软雅黑"/>
          <w:snapToGrid w:val="0"/>
          <w:color w:val="000000"/>
          <w:spacing w:val="0"/>
          <w:kern w:val="0"/>
          <w:sz w:val="32"/>
          <w:szCs w:val="32"/>
          <w:lang w:val="en-US" w:eastAsia="en-US" w:bidi="ar-SA"/>
        </w:rPr>
        <w:t>）</w:t>
      </w:r>
      <w:r>
        <w:rPr>
          <w:rFonts w:ascii="Times New Roman" w:hAnsi="Times New Roman" w:eastAsia="仿宋_GB2312"/>
          <w:spacing w:val="0"/>
          <w:sz w:val="32"/>
          <w:szCs w:val="32"/>
        </w:rPr>
        <w:t>受到卫生健康、中医药、市场监管、药品监管、公安、财政、税务、金融监管、商务等部门药械服务、药械费用有关的行政处罚的</w:t>
      </w:r>
      <w:r>
        <w:rPr>
          <w:rFonts w:hint="eastAsia" w:ascii="Times New Roman" w:hAnsi="Times New Roman" w:eastAsia="仿宋_GB2312"/>
          <w:spacing w:val="0"/>
          <w:sz w:val="32"/>
          <w:szCs w:val="32"/>
          <w:lang w:eastAsia="zh-CN"/>
        </w:rPr>
        <w:t>，</w:t>
      </w:r>
      <w:r>
        <w:rPr>
          <w:rFonts w:hint="eastAsia" w:ascii="Times New Roman" w:hAnsi="Times New Roman" w:eastAsia="仿宋_GB2312" w:cs="Times New Roman"/>
          <w:bCs/>
          <w:snapToGrid/>
          <w:kern w:val="0"/>
          <w:sz w:val="32"/>
          <w:szCs w:val="32"/>
          <w:lang w:val="en-US" w:eastAsia="zh-CN" w:bidi="ar-SA"/>
        </w:rPr>
        <w:t>在行政处罚决定书送达之日起5日内向医疗保障行政部门报送行政处罚相关信息；</w:t>
      </w:r>
    </w:p>
    <w:p w14:paraId="793C5AD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spacing w:val="0"/>
          <w:kern w:val="0"/>
          <w:sz w:val="32"/>
          <w:szCs w:val="32"/>
          <w:lang w:val="en-US" w:eastAsia="zh-CN" w:bidi="ar-SA"/>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三</w:t>
      </w:r>
      <w:r>
        <w:rPr>
          <w:rFonts w:ascii="Times New Roman" w:hAnsi="Times New Roman" w:eastAsia="仿宋_GB2312"/>
          <w:spacing w:val="0"/>
          <w:sz w:val="32"/>
          <w:szCs w:val="32"/>
        </w:rPr>
        <w:t>）</w:t>
      </w:r>
      <w:r>
        <w:rPr>
          <w:rFonts w:ascii="Times New Roman" w:hAnsi="Times New Roman" w:eastAsia="仿宋_GB2312" w:cs="微软雅黑"/>
          <w:snapToGrid w:val="0"/>
          <w:color w:val="000000"/>
          <w:spacing w:val="0"/>
          <w:kern w:val="0"/>
          <w:sz w:val="32"/>
          <w:szCs w:val="32"/>
          <w:lang w:val="en-US" w:eastAsia="en-US" w:bidi="ar-SA"/>
        </w:rPr>
        <w:t>向参保人员</w:t>
      </w:r>
      <w:r>
        <w:rPr>
          <w:rFonts w:hint="eastAsia" w:ascii="Times New Roman" w:hAnsi="Times New Roman" w:eastAsia="仿宋_GB2312" w:cs="微软雅黑"/>
          <w:snapToGrid w:val="0"/>
          <w:color w:val="000000"/>
          <w:spacing w:val="0"/>
          <w:kern w:val="0"/>
          <w:sz w:val="32"/>
          <w:szCs w:val="32"/>
          <w:lang w:val="en-US" w:eastAsia="en-US" w:bidi="ar-SA"/>
        </w:rPr>
        <w:t>如实出具</w:t>
      </w:r>
      <w:r>
        <w:rPr>
          <w:rFonts w:ascii="Times New Roman" w:hAnsi="Times New Roman" w:eastAsia="仿宋_GB2312" w:cs="微软雅黑"/>
          <w:snapToGrid w:val="0"/>
          <w:color w:val="000000"/>
          <w:spacing w:val="0"/>
          <w:kern w:val="0"/>
          <w:sz w:val="32"/>
          <w:szCs w:val="32"/>
          <w:lang w:val="en-US" w:eastAsia="en-US" w:bidi="ar-SA"/>
        </w:rPr>
        <w:t>医保结算单据和相关资料</w:t>
      </w:r>
      <w:r>
        <w:rPr>
          <w:rFonts w:hint="eastAsia" w:ascii="Times New Roman" w:hAnsi="Times New Roman" w:eastAsia="仿宋_GB2312" w:cs="微软雅黑"/>
          <w:snapToGrid w:val="0"/>
          <w:color w:val="000000"/>
          <w:spacing w:val="0"/>
          <w:kern w:val="0"/>
          <w:sz w:val="32"/>
          <w:szCs w:val="32"/>
          <w:lang w:val="en-US" w:eastAsia="zh-CN" w:bidi="ar-SA"/>
        </w:rPr>
        <w:t>，</w:t>
      </w:r>
      <w:r>
        <w:rPr>
          <w:rFonts w:hint="eastAsia" w:ascii="Times New Roman" w:hAnsi="Times New Roman" w:eastAsia="仿宋_GB2312" w:cs="微软雅黑"/>
          <w:snapToGrid w:val="0"/>
          <w:color w:val="000000"/>
          <w:spacing w:val="0"/>
          <w:kern w:val="0"/>
          <w:sz w:val="32"/>
          <w:szCs w:val="32"/>
          <w:highlight w:val="none"/>
          <w:lang w:val="en-US" w:eastAsia="zh-CN" w:bidi="ar-SA"/>
        </w:rPr>
        <w:t>确保费用结算的透明性和准确性</w:t>
      </w:r>
      <w:r>
        <w:rPr>
          <w:rFonts w:hint="eastAsia" w:ascii="Times New Roman" w:hAnsi="Times New Roman" w:eastAsia="仿宋_GB2312" w:cs="微软雅黑"/>
          <w:snapToGrid w:val="0"/>
          <w:color w:val="000000"/>
          <w:spacing w:val="0"/>
          <w:kern w:val="0"/>
          <w:sz w:val="32"/>
          <w:szCs w:val="32"/>
          <w:lang w:val="en-US" w:eastAsia="en-US" w:bidi="ar-SA"/>
        </w:rPr>
        <w:t>；</w:t>
      </w:r>
    </w:p>
    <w:p w14:paraId="73188F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四</w:t>
      </w:r>
      <w:r>
        <w:rPr>
          <w:rFonts w:ascii="Times New Roman" w:hAnsi="Times New Roman" w:eastAsia="仿宋_GB2312"/>
          <w:spacing w:val="0"/>
          <w:sz w:val="32"/>
          <w:szCs w:val="32"/>
        </w:rPr>
        <w:t>）定期自查本机构医保基金使用情况</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及时纠正不规范行为</w:t>
      </w:r>
      <w:r>
        <w:rPr>
          <w:rFonts w:hint="eastAsia" w:ascii="Times New Roman" w:hAnsi="Times New Roman" w:eastAsia="仿宋_GB2312"/>
          <w:spacing w:val="0"/>
          <w:sz w:val="32"/>
          <w:szCs w:val="32"/>
          <w:lang w:eastAsia="zh-CN"/>
        </w:rPr>
        <w:t>；</w:t>
      </w:r>
    </w:p>
    <w:p w14:paraId="342A58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五</w:t>
      </w:r>
      <w:r>
        <w:rPr>
          <w:rFonts w:ascii="Times New Roman" w:hAnsi="Times New Roman" w:eastAsia="仿宋_GB2312"/>
          <w:spacing w:val="0"/>
          <w:sz w:val="32"/>
          <w:szCs w:val="32"/>
        </w:rPr>
        <w:t>）</w:t>
      </w:r>
      <w:r>
        <w:rPr>
          <w:rFonts w:ascii="Times New Roman" w:hAnsi="Times New Roman" w:eastAsia="仿宋_GB2312"/>
          <w:spacing w:val="0"/>
          <w:sz w:val="32"/>
          <w:szCs w:val="32"/>
          <w:highlight w:val="none"/>
        </w:rPr>
        <w:t>在国家医保信息业务编码标准数据库动态维护平台按照医疗保障信息业务编码等标准和要求</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及时</w:t>
      </w:r>
      <w:r>
        <w:rPr>
          <w:rFonts w:ascii="Times New Roman" w:hAnsi="Times New Roman" w:eastAsia="仿宋_GB2312"/>
          <w:spacing w:val="0"/>
          <w:sz w:val="32"/>
          <w:szCs w:val="32"/>
        </w:rPr>
        <w:t>对零售药店及药师</w:t>
      </w:r>
      <w:r>
        <w:rPr>
          <w:rFonts w:hint="eastAsia" w:ascii="Times New Roman" w:hAnsi="Times New Roman" w:eastAsia="仿宋_GB2312" w:cs="Times New Roman"/>
          <w:bCs/>
          <w:snapToGrid/>
          <w:kern w:val="0"/>
          <w:sz w:val="32"/>
          <w:szCs w:val="32"/>
          <w:lang w:val="en-US" w:eastAsia="zh-CN" w:bidi="ar-SA"/>
        </w:rPr>
        <w:t>进行登记，并对</w:t>
      </w:r>
      <w:r>
        <w:rPr>
          <w:rFonts w:ascii="Times New Roman" w:hAnsi="Times New Roman" w:eastAsia="仿宋_GB2312"/>
          <w:spacing w:val="0"/>
          <w:sz w:val="32"/>
          <w:szCs w:val="32"/>
        </w:rPr>
        <w:t>登记、备案、变更</w:t>
      </w:r>
      <w:r>
        <w:rPr>
          <w:rFonts w:hint="eastAsia" w:ascii="Times New Roman" w:hAnsi="Times New Roman" w:eastAsia="仿宋_GB2312"/>
          <w:spacing w:val="0"/>
          <w:sz w:val="32"/>
          <w:szCs w:val="32"/>
          <w:lang w:eastAsia="zh-CN"/>
        </w:rPr>
        <w:t>的</w:t>
      </w:r>
      <w:r>
        <w:rPr>
          <w:rFonts w:ascii="Times New Roman" w:hAnsi="Times New Roman" w:eastAsia="仿宋_GB2312"/>
          <w:spacing w:val="0"/>
          <w:sz w:val="32"/>
          <w:szCs w:val="32"/>
        </w:rPr>
        <w:t>相关信息进行动态维护</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highlight w:val="none"/>
          <w:lang w:val="en-US" w:eastAsia="zh-CN"/>
        </w:rPr>
        <w:t>确保信息的准确性和及时性</w:t>
      </w:r>
      <w:r>
        <w:rPr>
          <w:rFonts w:hint="eastAsia" w:ascii="Times New Roman" w:hAnsi="Times New Roman" w:eastAsia="仿宋_GB2312"/>
          <w:spacing w:val="0"/>
          <w:sz w:val="32"/>
          <w:szCs w:val="32"/>
          <w:lang w:eastAsia="zh-CN"/>
        </w:rPr>
        <w:t>；</w:t>
      </w:r>
    </w:p>
    <w:p w14:paraId="1C0DF4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六</w:t>
      </w:r>
      <w:r>
        <w:rPr>
          <w:rFonts w:ascii="Times New Roman" w:hAnsi="Times New Roman" w:eastAsia="仿宋_GB2312"/>
          <w:spacing w:val="0"/>
          <w:sz w:val="32"/>
          <w:szCs w:val="32"/>
        </w:rPr>
        <w:t>）参加由医疗保障行政部门或经办机构组织的宣传和培训</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在本机构组织开展医疗保障相关制度、政策培训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highlight w:val="none"/>
          <w:lang w:val="en-US" w:eastAsia="zh-CN"/>
        </w:rPr>
        <w:t>确保乙方及乙方工作人员能够及时了解和执行最新的医保政策，</w:t>
      </w:r>
      <w:r>
        <w:rPr>
          <w:rFonts w:ascii="Times New Roman" w:hAnsi="Times New Roman" w:eastAsia="仿宋_GB2312"/>
          <w:spacing w:val="0"/>
          <w:sz w:val="32"/>
          <w:szCs w:val="32"/>
        </w:rPr>
        <w:t>为群众提供</w:t>
      </w:r>
      <w:r>
        <w:rPr>
          <w:rFonts w:hint="eastAsia" w:ascii="Times New Roman" w:hAnsi="Times New Roman" w:eastAsia="仿宋_GB2312"/>
          <w:spacing w:val="0"/>
          <w:sz w:val="32"/>
          <w:szCs w:val="32"/>
          <w:lang w:eastAsia="zh-CN"/>
        </w:rPr>
        <w:t>准确的</w:t>
      </w:r>
      <w:r>
        <w:rPr>
          <w:rFonts w:ascii="Times New Roman" w:hAnsi="Times New Roman" w:eastAsia="仿宋_GB2312"/>
          <w:spacing w:val="0"/>
          <w:sz w:val="32"/>
          <w:szCs w:val="32"/>
        </w:rPr>
        <w:t>医保政策宣传、咨询服务</w:t>
      </w:r>
      <w:r>
        <w:rPr>
          <w:rFonts w:hint="eastAsia" w:ascii="Times New Roman" w:hAnsi="Times New Roman" w:eastAsia="仿宋_GB2312"/>
          <w:spacing w:val="0"/>
          <w:sz w:val="32"/>
          <w:szCs w:val="32"/>
          <w:lang w:eastAsia="zh-CN"/>
        </w:rPr>
        <w:t>；</w:t>
      </w:r>
    </w:p>
    <w:p w14:paraId="7B29DEF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十七</w:t>
      </w:r>
      <w:r>
        <w:rPr>
          <w:rFonts w:ascii="Times New Roman" w:hAnsi="Times New Roman" w:eastAsia="仿宋_GB2312"/>
          <w:spacing w:val="0"/>
          <w:sz w:val="32"/>
          <w:szCs w:val="32"/>
        </w:rPr>
        <w:t>）配合甲方开展医保费用审核、协议履行核查、医保绩效考核等工作</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按甲方要求以实时联网或定期报送等形式提供医保费用审核结算、会计核算、医保绩效考核、协议履行核查等医保协议管理所需信息</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如实报送药械的采购价格和数量</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并对其真实性以承诺书形式作出承诺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按照规定向医疗保障行政部门报告医疗保障基金使用监督管理所需信息</w:t>
      </w:r>
      <w:r>
        <w:rPr>
          <w:rFonts w:hint="eastAsia" w:ascii="Times New Roman" w:hAnsi="Times New Roman" w:eastAsia="仿宋_GB2312"/>
          <w:spacing w:val="0"/>
          <w:sz w:val="32"/>
          <w:szCs w:val="32"/>
          <w:lang w:eastAsia="zh-CN"/>
        </w:rPr>
        <w:t>；</w:t>
      </w:r>
    </w:p>
    <w:p w14:paraId="0CF8261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八</w:t>
      </w:r>
      <w:r>
        <w:rPr>
          <w:rFonts w:ascii="Times New Roman" w:hAnsi="Times New Roman" w:eastAsia="仿宋_GB2312"/>
          <w:spacing w:val="0"/>
          <w:sz w:val="32"/>
          <w:szCs w:val="32"/>
        </w:rPr>
        <w:t>）公布医保投诉举报渠道</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及时处理投诉举报问题</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接受社会监督</w:t>
      </w:r>
      <w:r>
        <w:rPr>
          <w:rFonts w:hint="eastAsia" w:ascii="Times New Roman" w:hAnsi="Times New Roman" w:eastAsia="仿宋_GB2312"/>
          <w:spacing w:val="0"/>
          <w:sz w:val="32"/>
          <w:szCs w:val="32"/>
          <w:lang w:eastAsia="zh-CN"/>
        </w:rPr>
        <w:t>；</w:t>
      </w:r>
    </w:p>
    <w:p w14:paraId="46118E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spacing w:val="0"/>
          <w:sz w:val="32"/>
          <w:szCs w:val="32"/>
          <w:lang w:val="en-US"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九</w:t>
      </w:r>
      <w:r>
        <w:rPr>
          <w:rFonts w:ascii="Times New Roman" w:hAnsi="Times New Roman" w:eastAsia="仿宋_GB2312"/>
          <w:spacing w:val="0"/>
          <w:sz w:val="32"/>
          <w:szCs w:val="32"/>
        </w:rPr>
        <w:t>）</w:t>
      </w:r>
      <w:r>
        <w:rPr>
          <w:rFonts w:hint="eastAsia" w:ascii="Times New Roman" w:hAnsi="Times New Roman" w:eastAsia="仿宋_GB2312"/>
          <w:spacing w:val="0"/>
          <w:sz w:val="32"/>
          <w:szCs w:val="32"/>
          <w:highlight w:val="none"/>
          <w:lang w:val="en-US" w:eastAsia="zh-CN"/>
        </w:rPr>
        <w:t>严格遵守数据安全有关制度，采取必要的技术和管理措施，确保参保人员个人信息和医保数据的安全，防止数据泄露和滥用；</w:t>
      </w:r>
    </w:p>
    <w:p w14:paraId="655C5A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二十</w:t>
      </w:r>
      <w:r>
        <w:rPr>
          <w:rFonts w:ascii="Times New Roman" w:hAnsi="Times New Roman" w:eastAsia="仿宋_GB2312"/>
          <w:spacing w:val="0"/>
          <w:sz w:val="32"/>
          <w:szCs w:val="32"/>
        </w:rPr>
        <w:t>）按照医疗保障部门要求</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配合推进各项医保改革任务</w:t>
      </w:r>
      <w:r>
        <w:rPr>
          <w:rFonts w:hint="eastAsia" w:ascii="Times New Roman" w:hAnsi="Times New Roman" w:eastAsia="仿宋_GB2312"/>
          <w:spacing w:val="0"/>
          <w:sz w:val="32"/>
          <w:szCs w:val="32"/>
          <w:lang w:eastAsia="zh-CN"/>
        </w:rPr>
        <w:t>；</w:t>
      </w:r>
    </w:p>
    <w:p w14:paraId="7ADC34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二十一</w:t>
      </w:r>
      <w:r>
        <w:rPr>
          <w:rFonts w:ascii="Times New Roman" w:hAnsi="Times New Roman" w:eastAsia="仿宋_GB2312"/>
          <w:spacing w:val="0"/>
          <w:sz w:val="32"/>
          <w:szCs w:val="32"/>
        </w:rPr>
        <w:t>）法律法规和规章规定的其他义务</w:t>
      </w:r>
      <w:r>
        <w:rPr>
          <w:rFonts w:hint="eastAsia" w:ascii="Times New Roman" w:hAnsi="Times New Roman" w:eastAsia="仿宋_GB2312"/>
          <w:spacing w:val="0"/>
          <w:sz w:val="32"/>
          <w:szCs w:val="32"/>
          <w:lang w:eastAsia="zh-CN"/>
        </w:rPr>
        <w:t>。</w:t>
      </w:r>
    </w:p>
    <w:p w14:paraId="2975EA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10018C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第二章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药械服务</w:t>
      </w:r>
    </w:p>
    <w:p w14:paraId="61E5FF3F">
      <w:pPr>
        <w:pStyle w:val="2"/>
        <w:keepNext w:val="0"/>
        <w:keepLines w:val="0"/>
        <w:pageBreakBefore w:val="0"/>
        <w:numPr>
          <w:ilvl w:val="0"/>
          <w:numId w:val="0"/>
        </w:numPr>
        <w:kinsoku/>
        <w:wordWrap/>
        <w:overflowPunct/>
        <w:topLinePunct w:val="0"/>
        <w:autoSpaceDE w:val="0"/>
        <w:autoSpaceDN w:val="0"/>
        <w:bidi w:val="0"/>
        <w:adjustRightInd w:val="0"/>
        <w:snapToGrid w:val="0"/>
        <w:spacing w:line="560" w:lineRule="exact"/>
        <w:textAlignment w:val="baseline"/>
        <w:rPr>
          <w:rFonts w:hint="eastAsia"/>
          <w:sz w:val="21"/>
          <w:szCs w:val="21"/>
          <w:lang w:val="en-US" w:eastAsia="en-US"/>
        </w:rPr>
      </w:pPr>
    </w:p>
    <w:p w14:paraId="6C1EC5C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hint="eastAsia" w:ascii="Times New Roman" w:hAnsi="Times New Roman" w:eastAsia="黑体"/>
          <w:sz w:val="32"/>
          <w:szCs w:val="32"/>
          <w:lang w:val="en-US" w:eastAsia="zh-CN"/>
        </w:rPr>
        <w:t>第七条</w:t>
      </w: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 xml:space="preserve"> </w:t>
      </w:r>
      <w:r>
        <w:rPr>
          <w:rFonts w:hint="eastAsia" w:ascii="Times New Roman" w:hAnsi="Times New Roman" w:eastAsia="黑体"/>
          <w:color w:val="000000" w:themeColor="text1"/>
          <w:sz w:val="32"/>
          <w:szCs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甲方应为乙方实现参保人员直接结算医保费用提供必要的支持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乙方应严格按照营业执照、药品经营许可证、医疗器械经营许可证中载明的经营范围等从事经营活动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EB6D55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乙方应向参保人员提供医保相关的解释、咨询服务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以及参保人员在本机构药械费用和医保基金结算相关的查询服务或查询渠道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并确保查询渠道的便捷性和信息的准确性</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09C2F6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w:t>
      </w:r>
      <w:r>
        <w:rPr>
          <w:rFonts w:hint="eastAsia" w:ascii="Times New Roman" w:hAnsi="Times New Roman" w:eastAsia="黑体"/>
          <w:sz w:val="32"/>
          <w:szCs w:val="32"/>
          <w:lang w:val="en-US" w:eastAsia="zh-CN"/>
        </w:rPr>
        <w:t>八</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bCs/>
          <w:color w:val="000000" w:themeColor="text1"/>
          <w:sz w:val="32"/>
          <w:szCs w:val="32"/>
          <w14:textFill>
            <w14:solidFill>
              <w14:schemeClr w14:val="tx1"/>
            </w14:solidFill>
          </w14:textFill>
        </w:rPr>
        <w:t>乙方应严格执行</w:t>
      </w:r>
      <w:r>
        <w:rPr>
          <w:rFonts w:hint="eastAsia" w:ascii="Times New Roman" w:hAnsi="Times New Roman" w:eastAsia="仿宋_GB2312" w:cs="Times New Roman"/>
          <w:bCs/>
          <w:snapToGrid/>
          <w:kern w:val="0"/>
          <w:sz w:val="32"/>
          <w:szCs w:val="32"/>
          <w:highlight w:val="none"/>
          <w:lang w:val="en-US" w:eastAsia="zh-CN" w:bidi="ar-SA"/>
        </w:rPr>
        <w:t>《青海省基本医疗保险、工伤保险和生育保险药品目录》、《青海省医疗机构可收费医用耗材及医保支付类别目录》</w:t>
      </w:r>
      <w:r>
        <w:rPr>
          <w:rFonts w:hint="eastAsia" w:ascii="Times New Roman" w:hAnsi="Times New Roman" w:eastAsia="仿宋_GB2312"/>
          <w:bCs/>
          <w:color w:val="000000" w:themeColor="text1"/>
          <w:sz w:val="32"/>
          <w:szCs w:val="32"/>
          <w14:textFill>
            <w14:solidFill>
              <w14:schemeClr w14:val="tx1"/>
            </w14:solidFill>
          </w14:textFill>
        </w:rPr>
        <w:t>（以下简称“医保目录”）</w:t>
      </w:r>
      <w:r>
        <w:rPr>
          <w:rFonts w:hint="eastAsia" w:ascii="Times New Roman" w:hAnsi="Times New Roman" w:eastAsia="仿宋_GB2312"/>
          <w:bCs/>
          <w:color w:val="000000" w:themeColor="text1"/>
          <w:sz w:val="32"/>
          <w:szCs w:val="32"/>
          <w:lang w:val="en-US"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甲方应指导乙方做好</w:t>
      </w:r>
      <w:r>
        <w:rPr>
          <w:rFonts w:hint="eastAsia" w:ascii="Times New Roman" w:hAnsi="Times New Roman" w:eastAsia="仿宋_GB2312"/>
          <w:bCs/>
          <w:color w:val="000000" w:themeColor="text1"/>
          <w:sz w:val="32"/>
          <w:szCs w:val="32"/>
          <w14:textFill>
            <w14:solidFill>
              <w14:schemeClr w14:val="tx1"/>
            </w14:solidFill>
          </w14:textFill>
        </w:rPr>
        <w:t>医保目录</w:t>
      </w:r>
      <w:r>
        <w:rPr>
          <w:rFonts w:ascii="Times New Roman" w:hAnsi="Times New Roman" w:eastAsia="仿宋_GB2312"/>
          <w:color w:val="000000" w:themeColor="text1"/>
          <w:spacing w:val="0"/>
          <w:sz w:val="32"/>
          <w:szCs w:val="32"/>
          <w14:textFill>
            <w14:solidFill>
              <w14:schemeClr w14:val="tx1"/>
            </w14:solidFill>
          </w14:textFill>
        </w:rPr>
        <w:t>的对应工作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456293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pPr>
      <w:r>
        <w:rPr>
          <w:rFonts w:ascii="Times New Roman" w:hAnsi="Times New Roman" w:eastAsia="仿宋_GB2312"/>
          <w:color w:val="000000" w:themeColor="text1"/>
          <w:spacing w:val="0"/>
          <w:sz w:val="32"/>
          <w:szCs w:val="32"/>
          <w:highlight w:val="none"/>
          <w14:textFill>
            <w14:solidFill>
              <w14:schemeClr w14:val="tx1"/>
            </w14:solidFill>
          </w14:textFill>
        </w:rPr>
        <w:t>乙方应严格执行医保目录对支付范围、支付标准等的要求</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仿宋_GB2312"/>
          <w:bCs/>
          <w:color w:val="000000" w:themeColor="text1"/>
          <w:sz w:val="32"/>
          <w:szCs w:val="32"/>
          <w:highlight w:val="none"/>
          <w14:textFill>
            <w14:solidFill>
              <w14:schemeClr w14:val="tx1"/>
            </w14:solidFill>
          </w14:textFill>
        </w:rPr>
        <w:t>同等</w:t>
      </w:r>
      <w:r>
        <w:rPr>
          <w:rFonts w:ascii="Times New Roman" w:hAnsi="Times New Roman" w:eastAsia="仿宋_GB2312"/>
          <w:bCs/>
          <w:color w:val="000000" w:themeColor="text1"/>
          <w:sz w:val="32"/>
          <w:szCs w:val="32"/>
          <w:highlight w:val="none"/>
          <w14:textFill>
            <w14:solidFill>
              <w14:schemeClr w14:val="tx1"/>
            </w14:solidFill>
          </w14:textFill>
        </w:rPr>
        <w:t>功能疗效</w:t>
      </w:r>
      <w:r>
        <w:rPr>
          <w:rFonts w:hint="eastAsia" w:ascii="Times New Roman" w:hAnsi="Times New Roman" w:eastAsia="仿宋_GB2312"/>
          <w:bCs/>
          <w:color w:val="000000" w:themeColor="text1"/>
          <w:sz w:val="32"/>
          <w:szCs w:val="32"/>
          <w:highlight w:val="none"/>
          <w14:textFill>
            <w14:solidFill>
              <w14:schemeClr w14:val="tx1"/>
            </w14:solidFill>
          </w14:textFill>
        </w:rPr>
        <w:t>药械</w:t>
      </w:r>
      <w:r>
        <w:rPr>
          <w:rFonts w:ascii="Times New Roman" w:hAnsi="Times New Roman" w:eastAsia="仿宋_GB2312"/>
          <w:bCs/>
          <w:color w:val="000000" w:themeColor="text1"/>
          <w:sz w:val="32"/>
          <w:szCs w:val="32"/>
          <w:highlight w:val="none"/>
          <w14:textFill>
            <w14:solidFill>
              <w14:schemeClr w14:val="tx1"/>
            </w14:solidFill>
          </w14:textFill>
        </w:rPr>
        <w:t>优先</w:t>
      </w:r>
      <w:r>
        <w:rPr>
          <w:rFonts w:hint="eastAsia" w:ascii="Times New Roman" w:hAnsi="Times New Roman" w:eastAsia="仿宋_GB2312"/>
          <w:bCs/>
          <w:color w:val="000000" w:themeColor="text1"/>
          <w:sz w:val="32"/>
          <w:szCs w:val="32"/>
          <w:highlight w:val="none"/>
          <w14:textFill>
            <w14:solidFill>
              <w14:schemeClr w14:val="tx1"/>
            </w14:solidFill>
          </w14:textFill>
        </w:rPr>
        <w:t>推荐</w:t>
      </w:r>
      <w:r>
        <w:rPr>
          <w:rFonts w:ascii="Times New Roman" w:hAnsi="Times New Roman" w:eastAsia="仿宋_GB2312"/>
          <w:bCs/>
          <w:color w:val="000000" w:themeColor="text1"/>
          <w:sz w:val="32"/>
          <w:szCs w:val="32"/>
          <w:highlight w:val="none"/>
          <w14:textFill>
            <w14:solidFill>
              <w14:schemeClr w14:val="tx1"/>
            </w14:solidFill>
          </w14:textFill>
        </w:rPr>
        <w:t>医保目录范围内的。</w:t>
      </w:r>
      <w:r>
        <w:rPr>
          <w:rFonts w:ascii="Times New Roman" w:hAnsi="Times New Roman" w:eastAsia="仿宋_GB2312"/>
          <w:color w:val="000000" w:themeColor="text1"/>
          <w:spacing w:val="0"/>
          <w:sz w:val="32"/>
          <w:szCs w:val="32"/>
          <w:highlight w:val="none"/>
          <w14:textFill>
            <w14:solidFill>
              <w14:schemeClr w14:val="tx1"/>
            </w14:solidFill>
          </w14:textFill>
        </w:rPr>
        <w:t>乙方超出医保目录范围、药品法定适应症等的费用</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医保统筹基金不予支付</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 xml:space="preserve">  </w:t>
      </w:r>
    </w:p>
    <w:p w14:paraId="044CCD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九</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乙方及其工作人员应当执行实名购买药械管理规定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核验参保人员医疗保障凭证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做到人证相符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参保人员因特殊原因需要委托他人代为购买药械的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乙方应当核验委托人和受托人的有效身份凭证</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并做好记录</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5E0AC2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none"/>
          <w:lang w:eastAsia="zh-CN"/>
        </w:rPr>
      </w:pPr>
      <w:r>
        <w:rPr>
          <w:rFonts w:ascii="Times New Roman" w:hAnsi="Times New Roman" w:eastAsia="黑体"/>
          <w:sz w:val="32"/>
          <w:szCs w:val="32"/>
          <w:highlight w:val="none"/>
        </w:rPr>
        <w:t>第十条</w:t>
      </w:r>
      <w:r>
        <w:rPr>
          <w:rFonts w:hint="eastAsia" w:ascii="Times New Roman" w:hAnsi="Times New Roman" w:eastAsia="黑体"/>
          <w:sz w:val="32"/>
          <w:szCs w:val="32"/>
          <w:highlight w:val="none"/>
          <w:lang w:val="en-US" w:eastAsia="zh-CN"/>
        </w:rPr>
        <w:t xml:space="preserve"> </w:t>
      </w: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highlight w:val="none"/>
          <w14:textFill>
            <w14:solidFill>
              <w14:schemeClr w14:val="tx1"/>
            </w14:solidFill>
          </w14:textFill>
        </w:rPr>
        <w:t>乙方应按</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法律</w:t>
      </w:r>
      <w:r>
        <w:rPr>
          <w:rFonts w:ascii="Times New Roman" w:hAnsi="Times New Roman" w:eastAsia="仿宋_GB2312"/>
          <w:color w:val="000000" w:themeColor="text1"/>
          <w:spacing w:val="0"/>
          <w:sz w:val="32"/>
          <w:szCs w:val="32"/>
          <w:highlight w:val="none"/>
          <w14:textFill>
            <w14:solidFill>
              <w14:schemeClr w14:val="tx1"/>
            </w14:solidFill>
          </w14:textFill>
        </w:rPr>
        <w:t>法规要求</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将</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药品与医疗器械、食品、保健品、消杀类等非药品</w:t>
      </w:r>
      <w:r>
        <w:rPr>
          <w:rFonts w:ascii="Times New Roman" w:hAnsi="Times New Roman" w:eastAsia="仿宋_GB2312"/>
          <w:color w:val="000000" w:themeColor="text1"/>
          <w:spacing w:val="0"/>
          <w:sz w:val="32"/>
          <w:szCs w:val="32"/>
          <w:highlight w:val="none"/>
          <w14:textFill>
            <w14:solidFill>
              <w14:schemeClr w14:val="tx1"/>
            </w14:solidFill>
          </w14:textFill>
        </w:rPr>
        <w:t>实行分区分类管理</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明码标价</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并对所售药械设立明确的医保标识</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506CF7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一</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highlight w:val="none"/>
          <w:lang w:val="en-US" w:eastAsia="zh-CN"/>
        </w:rPr>
        <w:t xml:space="preserve"> </w:t>
      </w:r>
      <w:r>
        <w:rPr>
          <w:rFonts w:ascii="Times New Roman" w:hAnsi="Times New Roman" w:eastAsia="仿宋_GB2312"/>
          <w:color w:val="000000" w:themeColor="text1"/>
          <w:spacing w:val="0"/>
          <w:sz w:val="32"/>
          <w:szCs w:val="32"/>
          <w:highlight w:val="none"/>
          <w14:textFill>
            <w14:solidFill>
              <w14:schemeClr w14:val="tx1"/>
            </w14:solidFill>
          </w14:textFill>
        </w:rPr>
        <w:t>乙方开通门诊统筹服务</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的，</w:t>
      </w:r>
      <w:r>
        <w:rPr>
          <w:rFonts w:ascii="Times New Roman" w:hAnsi="Times New Roman" w:eastAsia="仿宋_GB2312"/>
          <w:color w:val="000000" w:themeColor="text1"/>
          <w:spacing w:val="0"/>
          <w:sz w:val="32"/>
          <w:szCs w:val="32"/>
          <w:highlight w:val="none"/>
          <w14:textFill>
            <w14:solidFill>
              <w14:schemeClr w14:val="tx1"/>
            </w14:solidFill>
          </w14:textFill>
        </w:rPr>
        <w:t>且参保人员发生的费用由统筹基金按规定支付的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乙方应核验参保人员提供的处方</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并确保处方的真实性和合法性。甲方有权对乙方核验的处方进行抽查，乙方应配合甲方的抽查并提供相关证明材料</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。国家、省级医保行政部门</w:t>
      </w:r>
      <w:r>
        <w:rPr>
          <w:rFonts w:ascii="Times New Roman" w:hAnsi="Times New Roman" w:eastAsia="仿宋_GB2312"/>
          <w:color w:val="000000" w:themeColor="text1"/>
          <w:spacing w:val="0"/>
          <w:sz w:val="32"/>
          <w:szCs w:val="32"/>
          <w:highlight w:val="none"/>
          <w14:textFill>
            <w14:solidFill>
              <w14:schemeClr w14:val="tx1"/>
            </w14:solidFill>
          </w14:textFill>
        </w:rPr>
        <w:t>另有规定的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，按要求执行。</w:t>
      </w:r>
      <w:r>
        <w:rPr>
          <w:rFonts w:ascii="Times New Roman" w:hAnsi="Times New Roman" w:eastAsia="仿宋_GB2312"/>
          <w:bCs/>
          <w:color w:val="000000" w:themeColor="text1"/>
          <w:sz w:val="32"/>
          <w:szCs w:val="32"/>
          <w:highlight w:val="none"/>
          <w14:textFill>
            <w14:solidFill>
              <w14:schemeClr w14:val="tx1"/>
            </w14:solidFill>
          </w14:textFill>
        </w:rPr>
        <w:t>药</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师应严格按</w:t>
      </w:r>
      <w:r>
        <w:rPr>
          <w:rFonts w:hint="eastAsia" w:ascii="Times New Roman" w:hAnsi="Times New Roman" w:eastAsia="仿宋_GB2312" w:cs="微软雅黑"/>
          <w:snapToGrid w:val="0"/>
          <w:color w:val="000000" w:themeColor="text1"/>
          <w:spacing w:val="0"/>
          <w:kern w:val="0"/>
          <w:sz w:val="32"/>
          <w:szCs w:val="32"/>
          <w:highlight w:val="none"/>
          <w:lang w:val="en-US" w:eastAsia="zh-CN" w:bidi="ar-SA"/>
          <w14:textFill>
            <w14:solidFill>
              <w14:schemeClr w14:val="tx1"/>
            </w14:solidFill>
          </w14:textFill>
        </w:rPr>
        <w:t>法律法规政策要求</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开展执业</w:t>
      </w:r>
      <w:r>
        <w:rPr>
          <w:rFonts w:hint="eastAsia"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严禁执业药师兼职或挂名</w:t>
      </w:r>
      <w:r>
        <w:rPr>
          <w:rFonts w:hint="eastAsia"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w:t>
      </w:r>
    </w:p>
    <w:p w14:paraId="3BCF164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二</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乙方为医保特殊药品定点零售药店的，</w:t>
      </w:r>
      <w:r>
        <w:rPr>
          <w:rFonts w:ascii="Times New Roman" w:hAnsi="Times New Roman" w:eastAsia="仿宋_GB2312"/>
          <w:color w:val="000000" w:themeColor="text1"/>
          <w:spacing w:val="0"/>
          <w:sz w:val="32"/>
          <w:szCs w:val="32"/>
          <w:highlight w:val="none"/>
          <w14:textFill>
            <w14:solidFill>
              <w14:schemeClr w14:val="tx1"/>
            </w14:solidFill>
          </w14:textFill>
        </w:rPr>
        <w:t>需通过电子处方流转</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特殊药品处方，</w:t>
      </w:r>
      <w:r>
        <w:rPr>
          <w:rFonts w:ascii="Times New Roman" w:hAnsi="Times New Roman" w:eastAsia="仿宋_GB2312"/>
          <w:color w:val="000000" w:themeColor="text1"/>
          <w:spacing w:val="0"/>
          <w:sz w:val="32"/>
          <w:szCs w:val="32"/>
          <w:highlight w:val="none"/>
          <w14:textFill>
            <w14:solidFill>
              <w14:schemeClr w14:val="tx1"/>
            </w14:solidFill>
          </w14:textFill>
        </w:rPr>
        <w:t>在电子处方中心下载定点医疗机构处方信息</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购药、结算全流程线上留痕</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老年人等有需求的参保人员持纸质处方</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购买特殊药品</w:t>
      </w:r>
      <w:r>
        <w:rPr>
          <w:rFonts w:ascii="Times New Roman" w:hAnsi="Times New Roman" w:eastAsia="仿宋_GB2312"/>
          <w:color w:val="000000" w:themeColor="text1"/>
          <w:spacing w:val="0"/>
          <w:sz w:val="32"/>
          <w:szCs w:val="32"/>
          <w:highlight w:val="none"/>
          <w14:textFill>
            <w14:solidFill>
              <w14:schemeClr w14:val="tx1"/>
            </w14:solidFill>
          </w14:textFill>
        </w:rPr>
        <w:t>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乙方应将纸质处方与电子处方流转平台处方比对确认一致</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50D82F9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auto"/>
          <w:spacing w:val="0"/>
          <w:sz w:val="32"/>
          <w:szCs w:val="32"/>
          <w:highlight w:val="yellow"/>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三</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auto"/>
          <w:spacing w:val="0"/>
          <w:sz w:val="32"/>
          <w:szCs w:val="32"/>
          <w:highlight w:val="none"/>
        </w:rPr>
        <w:t>参保人员凭定点医疗机构处方购买医保目录内处方药</w:t>
      </w:r>
      <w:r>
        <w:rPr>
          <w:rFonts w:hint="eastAsia" w:ascii="Times New Roman" w:hAnsi="Times New Roman" w:eastAsia="仿宋_GB2312"/>
          <w:color w:val="auto"/>
          <w:spacing w:val="0"/>
          <w:sz w:val="32"/>
          <w:szCs w:val="32"/>
          <w:highlight w:val="none"/>
          <w:lang w:eastAsia="zh-CN"/>
        </w:rPr>
        <w:t>的，</w:t>
      </w:r>
      <w:r>
        <w:rPr>
          <w:rFonts w:ascii="Times New Roman" w:hAnsi="Times New Roman" w:eastAsia="仿宋_GB2312"/>
          <w:color w:val="auto"/>
          <w:spacing w:val="0"/>
          <w:sz w:val="32"/>
          <w:szCs w:val="32"/>
          <w:highlight w:val="none"/>
        </w:rPr>
        <w:t>处方应符合处方管理相关规定</w:t>
      </w:r>
      <w:r>
        <w:rPr>
          <w:rFonts w:hint="eastAsia" w:ascii="Times New Roman" w:hAnsi="Times New Roman" w:eastAsia="仿宋_GB2312"/>
          <w:color w:val="auto"/>
          <w:spacing w:val="0"/>
          <w:sz w:val="32"/>
          <w:szCs w:val="32"/>
          <w:highlight w:val="none"/>
          <w:lang w:eastAsia="zh-CN"/>
        </w:rPr>
        <w:t>，</w:t>
      </w:r>
      <w:r>
        <w:rPr>
          <w:rFonts w:ascii="Times New Roman" w:hAnsi="Times New Roman" w:eastAsia="仿宋_GB2312"/>
          <w:color w:val="auto"/>
          <w:spacing w:val="0"/>
          <w:sz w:val="32"/>
          <w:szCs w:val="32"/>
          <w:highlight w:val="none"/>
        </w:rPr>
        <w:t>定点医疗机构开具的纸质处方</w:t>
      </w:r>
      <w:r>
        <w:rPr>
          <w:rFonts w:hint="eastAsia" w:ascii="Times New Roman" w:hAnsi="Times New Roman" w:eastAsia="仿宋_GB2312"/>
          <w:color w:val="auto"/>
          <w:spacing w:val="0"/>
          <w:sz w:val="32"/>
          <w:szCs w:val="32"/>
          <w:highlight w:val="none"/>
          <w:lang w:eastAsia="zh-CN"/>
        </w:rPr>
        <w:t>或外购单</w:t>
      </w:r>
      <w:r>
        <w:rPr>
          <w:rFonts w:ascii="Times New Roman" w:hAnsi="Times New Roman" w:eastAsia="仿宋_GB2312"/>
          <w:color w:val="auto"/>
          <w:spacing w:val="0"/>
          <w:sz w:val="32"/>
          <w:szCs w:val="32"/>
          <w:highlight w:val="none"/>
        </w:rPr>
        <w:t>须经本院医保医师签名并加盖外配处方专用章后有效</w:t>
      </w:r>
      <w:r>
        <w:rPr>
          <w:rFonts w:hint="eastAsia" w:ascii="Times New Roman" w:hAnsi="Times New Roman" w:eastAsia="仿宋_GB2312"/>
          <w:color w:val="auto"/>
          <w:spacing w:val="0"/>
          <w:sz w:val="32"/>
          <w:szCs w:val="32"/>
          <w:highlight w:val="none"/>
          <w:lang w:eastAsia="zh-CN"/>
        </w:rPr>
        <w:t>，</w:t>
      </w:r>
      <w:r>
        <w:rPr>
          <w:rFonts w:ascii="Times New Roman" w:hAnsi="Times New Roman" w:eastAsia="仿宋_GB2312"/>
          <w:bCs/>
          <w:sz w:val="32"/>
          <w:szCs w:val="32"/>
          <w:highlight w:val="none"/>
        </w:rPr>
        <w:t>乙方执业药师应</w:t>
      </w:r>
      <w:r>
        <w:rPr>
          <w:rFonts w:ascii="Times New Roman" w:hAnsi="Times New Roman" w:eastAsia="仿宋_GB2312"/>
          <w:sz w:val="32"/>
          <w:szCs w:val="32"/>
          <w:highlight w:val="none"/>
        </w:rPr>
        <w:t>严格按照</w:t>
      </w:r>
      <w:r>
        <w:rPr>
          <w:rFonts w:ascii="Times New Roman" w:hAnsi="Times New Roman" w:eastAsia="仿宋_GB2312"/>
          <w:color w:val="auto"/>
          <w:spacing w:val="0"/>
          <w:sz w:val="32"/>
          <w:szCs w:val="32"/>
          <w:highlight w:val="none"/>
        </w:rPr>
        <w:t>处方调配相关规定对处方的来源、真实性、合法性、规范性</w:t>
      </w:r>
      <w:r>
        <w:rPr>
          <w:rFonts w:hint="eastAsia" w:ascii="Times New Roman" w:hAnsi="Times New Roman" w:eastAsia="仿宋_GB2312"/>
          <w:color w:val="auto"/>
          <w:spacing w:val="0"/>
          <w:sz w:val="32"/>
          <w:szCs w:val="32"/>
          <w:highlight w:val="none"/>
          <w:lang w:eastAsia="zh-CN"/>
        </w:rPr>
        <w:t>，</w:t>
      </w:r>
      <w:r>
        <w:rPr>
          <w:rFonts w:ascii="Times New Roman" w:hAnsi="Times New Roman" w:eastAsia="仿宋_GB2312"/>
          <w:color w:val="auto"/>
          <w:spacing w:val="0"/>
          <w:sz w:val="32"/>
          <w:szCs w:val="32"/>
          <w:highlight w:val="none"/>
        </w:rPr>
        <w:t>以及用药信息、有效期、参保人员信息等进行审核</w:t>
      </w:r>
      <w:r>
        <w:rPr>
          <w:rFonts w:hint="eastAsia" w:ascii="Times New Roman" w:hAnsi="Times New Roman" w:eastAsia="仿宋_GB2312"/>
          <w:color w:val="auto"/>
          <w:spacing w:val="0"/>
          <w:sz w:val="32"/>
          <w:szCs w:val="32"/>
          <w:highlight w:val="none"/>
          <w:lang w:eastAsia="zh-CN"/>
        </w:rPr>
        <w:t>，</w:t>
      </w:r>
      <w:r>
        <w:rPr>
          <w:rFonts w:ascii="Times New Roman" w:hAnsi="Times New Roman" w:eastAsia="仿宋_GB2312"/>
          <w:color w:val="auto"/>
          <w:spacing w:val="0"/>
          <w:sz w:val="32"/>
          <w:szCs w:val="32"/>
          <w:highlight w:val="none"/>
        </w:rPr>
        <w:t>签字确认后调剂</w:t>
      </w:r>
      <w:r>
        <w:rPr>
          <w:rFonts w:ascii="Times New Roman" w:hAnsi="Times New Roman" w:eastAsia="仿宋_GB2312"/>
          <w:bCs/>
          <w:sz w:val="32"/>
          <w:szCs w:val="32"/>
          <w:highlight w:val="none"/>
        </w:rPr>
        <w:t>销售</w:t>
      </w:r>
      <w:r>
        <w:rPr>
          <w:rFonts w:hint="eastAsia" w:ascii="Times New Roman" w:hAnsi="Times New Roman" w:eastAsia="仿宋_GB2312"/>
          <w:color w:val="auto"/>
          <w:spacing w:val="0"/>
          <w:sz w:val="32"/>
          <w:szCs w:val="32"/>
          <w:highlight w:val="none"/>
          <w:lang w:eastAsia="zh-CN"/>
        </w:rPr>
        <w:t>，</w:t>
      </w:r>
      <w:r>
        <w:rPr>
          <w:rFonts w:hint="eastAsia" w:ascii="Times New Roman" w:hAnsi="Times New Roman" w:eastAsia="仿宋_GB2312"/>
          <w:bCs/>
          <w:sz w:val="32"/>
          <w:szCs w:val="32"/>
          <w:highlight w:val="none"/>
        </w:rPr>
        <w:t>销售的</w:t>
      </w:r>
      <w:r>
        <w:rPr>
          <w:rFonts w:ascii="Times New Roman" w:hAnsi="Times New Roman" w:eastAsia="仿宋_GB2312"/>
          <w:bCs/>
          <w:sz w:val="32"/>
          <w:szCs w:val="32"/>
          <w:highlight w:val="none"/>
        </w:rPr>
        <w:t>药品与处方</w:t>
      </w:r>
      <w:r>
        <w:rPr>
          <w:rFonts w:hint="eastAsia" w:ascii="Times New Roman" w:hAnsi="Times New Roman" w:eastAsia="仿宋_GB2312"/>
          <w:bCs/>
          <w:sz w:val="32"/>
          <w:szCs w:val="32"/>
          <w:highlight w:val="none"/>
        </w:rPr>
        <w:t>开具药品</w:t>
      </w:r>
      <w:r>
        <w:rPr>
          <w:rFonts w:ascii="Times New Roman" w:hAnsi="Times New Roman" w:eastAsia="仿宋_GB2312"/>
          <w:bCs/>
          <w:sz w:val="32"/>
          <w:szCs w:val="32"/>
          <w:highlight w:val="none"/>
        </w:rPr>
        <w:t>一致，</w:t>
      </w:r>
      <w:r>
        <w:rPr>
          <w:rFonts w:ascii="Times New Roman" w:hAnsi="Times New Roman" w:eastAsia="仿宋_GB2312"/>
          <w:color w:val="auto"/>
          <w:spacing w:val="0"/>
          <w:sz w:val="32"/>
          <w:szCs w:val="32"/>
          <w:highlight w:val="none"/>
        </w:rPr>
        <w:t>发现问题的可拒绝调剂</w:t>
      </w:r>
      <w:r>
        <w:rPr>
          <w:rFonts w:hint="eastAsia" w:ascii="Times New Roman" w:hAnsi="Times New Roman" w:eastAsia="仿宋_GB2312"/>
          <w:color w:val="auto"/>
          <w:spacing w:val="0"/>
          <w:sz w:val="32"/>
          <w:szCs w:val="32"/>
          <w:highlight w:val="none"/>
          <w:lang w:eastAsia="zh-CN"/>
        </w:rPr>
        <w:t>，</w:t>
      </w:r>
      <w:r>
        <w:rPr>
          <w:rFonts w:ascii="Times New Roman" w:hAnsi="Times New Roman" w:eastAsia="仿宋_GB2312"/>
          <w:color w:val="auto"/>
          <w:spacing w:val="0"/>
          <w:sz w:val="32"/>
          <w:szCs w:val="32"/>
          <w:highlight w:val="none"/>
        </w:rPr>
        <w:t>并及时向医保部门反映存疑外配处方线索</w:t>
      </w:r>
      <w:r>
        <w:rPr>
          <w:rFonts w:hint="eastAsia" w:ascii="Times New Roman" w:hAnsi="Times New Roman" w:eastAsia="仿宋_GB2312"/>
          <w:color w:val="auto"/>
          <w:spacing w:val="0"/>
          <w:sz w:val="32"/>
          <w:szCs w:val="32"/>
          <w:highlight w:val="none"/>
          <w:lang w:eastAsia="zh-CN"/>
        </w:rPr>
        <w:t>。</w:t>
      </w:r>
    </w:p>
    <w:p w14:paraId="3C9950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olor w:val="000000" w:themeColor="text1"/>
          <w:spacing w:val="0"/>
          <w:sz w:val="32"/>
          <w:szCs w:val="32"/>
          <w:highlight w:val="none"/>
          <w14:textFill>
            <w14:solidFill>
              <w14:schemeClr w14:val="tx1"/>
            </w14:solidFill>
          </w14:textFill>
        </w:rPr>
        <w:t>乙方应当按规定存档电子处方备查</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参保人员使用纸质处方的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乙方核验调剂后按规定留存处方</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纸质处方保存期限不少于2年</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处方时间晚于药品结算时间的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视为无效处方</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黑体"/>
          <w:sz w:val="32"/>
          <w:szCs w:val="32"/>
          <w:lang w:val="en-US" w:eastAsia="zh-CN"/>
        </w:rPr>
        <w:t xml:space="preserve">  </w:t>
      </w:r>
    </w:p>
    <w:p w14:paraId="04E53B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四</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乙方应如实向参保人员出具费用单据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标明医保支付金额</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规范开具</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票据，</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确保费用结算的透明性和准确性</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乙方不得将应当由医保基金支付的费用转嫁参保人员自费结算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乙方不得留存参保人员社会保障卡（以下简称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社保卡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24AA0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乙方不得串换药械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不得诱导、协助他人冒名或者虚假购买药械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不得组织、串通参保人员及第三方骗取医疗保障基金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65FFE7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乙方不得以医保定点名义或者字样从事商业广告、促销活动等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乙方不得为参保人员利用其享受医疗保障待遇的机会转卖药械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接受返还现金、实物或者获得其他非法利益提供便利</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4B2D2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五</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乙方应严格按照有关规定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对乙方经营的所有药械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在购进、销售（含线上线下）、库存所有环节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准确采集、核验、上传所有药械追溯码信息至医保信息平台（耗材、医疗器械无追溯码的除外</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下同）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并确保信息的完整性和准确性</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甲方有权接入乙方药店信息系统查询所有药械追溯原始信息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BDF25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六</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乙方应当按照药械法规要求建立药械购进、销售、库存等管理制度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乙方应全流程记录乙方经营的所有药械的购进、销售、库存（以下简称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进销存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乙方进销存系统应有详细的药械销售信息</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包括流水号、销售明细、金额、准确时间、收款方式等</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3B7085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乙方应建立进销存电子台账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相关信息数据应与实际情况一致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并实现相关信息数据可追溯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台账记录包括但不限于通用名称、医保信息业务编码、药械追溯码、剂型（型号）、规格、生产厂商（中药材标明产地）、供货单位、有效期、批准文号、购（销）数量、购（销）价格、批号、生产日期、购进日期等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乙方应按规定时限保管凭证、票据、出入库记录等药械进销存原始材料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BA40F7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乙方应及时、准确上传进销存</w:t>
      </w:r>
      <w:r>
        <w:rPr>
          <w:rFonts w:hint="eastAsia" w:ascii="Times New Roman" w:hAnsi="Times New Roman" w:eastAsia="仿宋_GB2312"/>
          <w:color w:val="000000" w:themeColor="text1"/>
          <w:spacing w:val="0"/>
          <w:sz w:val="32"/>
          <w:szCs w:val="32"/>
          <w:lang w:eastAsia="zh-CN"/>
          <w14:textFill>
            <w14:solidFill>
              <w14:schemeClr w14:val="tx1"/>
            </w14:solidFill>
          </w14:textFill>
        </w:rPr>
        <w:t>数据信息，</w:t>
      </w:r>
      <w:r>
        <w:rPr>
          <w:rFonts w:ascii="Times New Roman" w:hAnsi="Times New Roman" w:eastAsia="仿宋_GB2312"/>
          <w:color w:val="000000" w:themeColor="text1"/>
          <w:spacing w:val="0"/>
          <w:sz w:val="32"/>
          <w:szCs w:val="32"/>
          <w14:textFill>
            <w14:solidFill>
              <w14:schemeClr w14:val="tx1"/>
            </w14:solidFill>
          </w14:textFill>
        </w:rPr>
        <w:t>甲方有权接入乙方药店信息系统查询上述原始信息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乙方不得以任何理由拒绝或延迟提供信息</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14A284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七</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乙方提供异地购买药械直接结算服务的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应做好政策宣传并严格执行相关规定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为异地参保人员提供与本地区参保人员一致的服务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相关服务情况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甲方纳入本地区统一管理和考核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3BB9F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w:t>
      </w:r>
      <w:r>
        <w:rPr>
          <w:rFonts w:hint="eastAsia" w:ascii="Times New Roman" w:hAnsi="Times New Roman" w:eastAsia="黑体"/>
          <w:sz w:val="32"/>
          <w:szCs w:val="32"/>
          <w:lang w:val="en-US" w:eastAsia="zh-CN"/>
        </w:rPr>
        <w:t>十八</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乙方不得使用参保人员职工医保个人账户结算不属于职工医保个人账户支付范围的费用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41362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乙方应提供职工医保个人账户家庭共济结算服务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814693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14:paraId="5EA0D1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第三章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费用结算</w:t>
      </w:r>
    </w:p>
    <w:p w14:paraId="77B03B38">
      <w:pPr>
        <w:pStyle w:val="2"/>
        <w:keepNext w:val="0"/>
        <w:keepLines w:val="0"/>
        <w:pageBreakBefore w:val="0"/>
        <w:numPr>
          <w:ilvl w:val="0"/>
          <w:numId w:val="0"/>
        </w:numPr>
        <w:kinsoku/>
        <w:wordWrap/>
        <w:overflowPunct/>
        <w:topLinePunct w:val="0"/>
        <w:autoSpaceDE w:val="0"/>
        <w:autoSpaceDN w:val="0"/>
        <w:bidi w:val="0"/>
        <w:adjustRightInd w:val="0"/>
        <w:snapToGrid w:val="0"/>
        <w:spacing w:line="560" w:lineRule="exact"/>
        <w:textAlignment w:val="baseline"/>
        <w:rPr>
          <w:rFonts w:hint="eastAsia"/>
          <w:sz w:val="21"/>
          <w:szCs w:val="21"/>
          <w:lang w:val="en-US" w:eastAsia="en-US"/>
        </w:rPr>
      </w:pPr>
    </w:p>
    <w:p w14:paraId="188DD2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lang w:val="en-US" w:eastAsia="zh-CN"/>
          <w14:textFill>
            <w14:solidFill>
              <w14:schemeClr w14:val="tx1"/>
            </w14:solidFill>
          </w14:textFill>
        </w:rPr>
        <w:t>十九</w:t>
      </w:r>
      <w:r>
        <w:rPr>
          <w:rFonts w:ascii="Times New Roman" w:hAnsi="Times New Roman" w:eastAsia="黑体"/>
          <w:color w:val="000000" w:themeColor="text1"/>
          <w:sz w:val="32"/>
          <w14:textFill>
            <w14:solidFill>
              <w14:schemeClr w14:val="tx1"/>
            </w14:solidFill>
          </w14:textFill>
        </w:rPr>
        <w:t xml:space="preserve">条 </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甲方与乙方建立沟通协商机制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就服务内容、付费方式、结算标准等相关事宜进行沟通协商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14:textFill>
            <w14:solidFill>
              <w14:schemeClr w14:val="tx1"/>
            </w14:solidFill>
          </w14:textFill>
        </w:rPr>
        <w:t>乙方应严格执行国家和青海省医疗保障部门制定的支付</w:t>
      </w:r>
      <w:r>
        <w:rPr>
          <w:rFonts w:ascii="Times New Roman" w:hAnsi="Times New Roman" w:eastAsia="仿宋_GB2312"/>
          <w:color w:val="000000" w:themeColor="text1"/>
          <w:spacing w:val="0"/>
          <w:sz w:val="32"/>
          <w:szCs w:val="32"/>
          <w14:textFill>
            <w14:solidFill>
              <w14:schemeClr w14:val="tx1"/>
            </w14:solidFill>
          </w14:textFill>
        </w:rPr>
        <w:t>政策</w:t>
      </w:r>
      <w:r>
        <w:rPr>
          <w:rFonts w:hint="eastAsia" w:ascii="Times New Roman" w:hAnsi="Times New Roman" w:eastAsia="仿宋_GB2312"/>
          <w:color w:val="000000" w:themeColor="text1"/>
          <w:spacing w:val="0"/>
          <w:sz w:val="32"/>
          <w:szCs w:val="32"/>
          <w14:textFill>
            <w14:solidFill>
              <w14:schemeClr w14:val="tx1"/>
            </w14:solidFill>
          </w14:textFill>
        </w:rPr>
        <w:t>。</w:t>
      </w:r>
    </w:p>
    <w:p w14:paraId="394B8520">
      <w:pPr>
        <w:pStyle w:val="13"/>
        <w:keepNext w:val="0"/>
        <w:keepLines w:val="0"/>
        <w:pageBreakBefore w:val="0"/>
        <w:widowControl w:val="0"/>
        <w:tabs>
          <w:tab w:val="left" w:pos="1413"/>
        </w:tabs>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bCs/>
          <w:color w:val="000000" w:themeColor="text1"/>
          <w:sz w:val="32"/>
          <w:lang w:eastAsia="zh-CN"/>
          <w14:textFill>
            <w14:solidFill>
              <w14:schemeClr w14:val="tx1"/>
            </w14:solidFill>
          </w14:textFill>
        </w:rPr>
      </w:pPr>
      <w:r>
        <w:rPr>
          <w:rFonts w:hint="eastAsia" w:ascii="Times New Roman" w:hAnsi="Times New Roman"/>
          <w:bCs/>
          <w:color w:val="000000" w:themeColor="text1"/>
          <w:sz w:val="32"/>
          <w14:textFill>
            <w14:solidFill>
              <w14:schemeClr w14:val="tx1"/>
            </w14:solidFill>
          </w14:textFill>
        </w:rPr>
        <w:t>（一）协议期内国家</w:t>
      </w:r>
      <w:r>
        <w:rPr>
          <w:rFonts w:ascii="Times New Roman" w:hAnsi="Times New Roman"/>
          <w:bCs/>
          <w:color w:val="000000" w:themeColor="text1"/>
          <w:sz w:val="32"/>
          <w14:textFill>
            <w14:solidFill>
              <w14:schemeClr w14:val="tx1"/>
            </w14:solidFill>
          </w14:textFill>
        </w:rPr>
        <w:t>谈判药品执行全国统一的医保支付标准，超标准不</w:t>
      </w:r>
      <w:r>
        <w:rPr>
          <w:rFonts w:hint="eastAsia" w:ascii="Times New Roman" w:hAnsi="Times New Roman"/>
          <w:bCs/>
          <w:color w:val="000000" w:themeColor="text1"/>
          <w:sz w:val="32"/>
          <w14:textFill>
            <w14:solidFill>
              <w14:schemeClr w14:val="tx1"/>
            </w14:solidFill>
          </w14:textFill>
        </w:rPr>
        <w:t>予</w:t>
      </w:r>
      <w:r>
        <w:rPr>
          <w:rFonts w:ascii="Times New Roman" w:hAnsi="Times New Roman"/>
          <w:bCs/>
          <w:color w:val="000000" w:themeColor="text1"/>
          <w:sz w:val="32"/>
          <w14:textFill>
            <w14:solidFill>
              <w14:schemeClr w14:val="tx1"/>
            </w14:solidFill>
          </w14:textFill>
        </w:rPr>
        <w:t>结算</w:t>
      </w:r>
      <w:r>
        <w:rPr>
          <w:rFonts w:hint="eastAsia" w:ascii="Times New Roman" w:hAnsi="Times New Roman"/>
          <w:bCs/>
          <w:color w:val="000000" w:themeColor="text1"/>
          <w:sz w:val="32"/>
          <w:lang w:eastAsia="zh-CN"/>
          <w14:textFill>
            <w14:solidFill>
              <w14:schemeClr w14:val="tx1"/>
            </w14:solidFill>
          </w14:textFill>
        </w:rPr>
        <w:t>；</w:t>
      </w:r>
    </w:p>
    <w:p w14:paraId="188FC6B9">
      <w:pPr>
        <w:pStyle w:val="13"/>
        <w:keepNext w:val="0"/>
        <w:keepLines w:val="0"/>
        <w:pageBreakBefore w:val="0"/>
        <w:widowControl w:val="0"/>
        <w:tabs>
          <w:tab w:val="left" w:pos="1413"/>
        </w:tabs>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z w:val="32"/>
          <w:highlight w:val="none"/>
          <w:lang w:eastAsia="zh-CN"/>
          <w14:textFill>
            <w14:solidFill>
              <w14:schemeClr w14:val="tx1"/>
            </w14:solidFill>
          </w14:textFill>
        </w:rPr>
      </w:pPr>
      <w:r>
        <w:rPr>
          <w:rFonts w:hint="eastAsia" w:ascii="Times New Roman" w:hAnsi="Times New Roman"/>
          <w:color w:val="000000" w:themeColor="text1"/>
          <w:sz w:val="32"/>
          <w:highlight w:val="none"/>
          <w14:textFill>
            <w14:solidFill>
              <w14:schemeClr w14:val="tx1"/>
            </w14:solidFill>
          </w14:textFill>
        </w:rPr>
        <w:t>（二）集中带量采购</w:t>
      </w:r>
      <w:r>
        <w:rPr>
          <w:rFonts w:ascii="Times New Roman" w:hAnsi="Times New Roman"/>
          <w:color w:val="000000" w:themeColor="text1"/>
          <w:sz w:val="32"/>
          <w:highlight w:val="none"/>
          <w14:textFill>
            <w14:solidFill>
              <w14:schemeClr w14:val="tx1"/>
            </w14:solidFill>
          </w14:textFill>
        </w:rPr>
        <w:t>中选药品</w:t>
      </w:r>
      <w:r>
        <w:rPr>
          <w:rFonts w:hint="eastAsia" w:ascii="Times New Roman" w:hAnsi="Times New Roman"/>
          <w:color w:val="000000" w:themeColor="text1"/>
          <w:sz w:val="32"/>
          <w:highlight w:val="none"/>
          <w14:textFill>
            <w14:solidFill>
              <w14:schemeClr w14:val="tx1"/>
            </w14:solidFill>
          </w14:textFill>
        </w:rPr>
        <w:t>以</w:t>
      </w:r>
      <w:r>
        <w:rPr>
          <w:rFonts w:ascii="Times New Roman" w:hAnsi="Times New Roman"/>
          <w:color w:val="000000" w:themeColor="text1"/>
          <w:sz w:val="32"/>
          <w:highlight w:val="none"/>
          <w14:textFill>
            <w14:solidFill>
              <w14:schemeClr w14:val="tx1"/>
            </w14:solidFill>
          </w14:textFill>
        </w:rPr>
        <w:t>中选价格作为医保支付标准，超标准</w:t>
      </w:r>
      <w:r>
        <w:rPr>
          <w:rFonts w:hint="eastAsia" w:ascii="Times New Roman" w:hAnsi="Times New Roman"/>
          <w:color w:val="000000" w:themeColor="text1"/>
          <w:sz w:val="32"/>
          <w:highlight w:val="none"/>
          <w14:textFill>
            <w14:solidFill>
              <w14:schemeClr w14:val="tx1"/>
            </w14:solidFill>
          </w14:textFill>
        </w:rPr>
        <w:t>部分</w:t>
      </w:r>
      <w:r>
        <w:rPr>
          <w:rFonts w:ascii="Times New Roman" w:hAnsi="Times New Roman"/>
          <w:color w:val="000000" w:themeColor="text1"/>
          <w:sz w:val="32"/>
          <w:highlight w:val="none"/>
          <w14:textFill>
            <w14:solidFill>
              <w14:schemeClr w14:val="tx1"/>
            </w14:solidFill>
          </w14:textFill>
        </w:rPr>
        <w:t>个人承担</w:t>
      </w:r>
      <w:r>
        <w:rPr>
          <w:rFonts w:hint="eastAsia" w:ascii="Times New Roman" w:hAnsi="Times New Roman"/>
          <w:color w:val="000000" w:themeColor="text1"/>
          <w:sz w:val="32"/>
          <w:highlight w:val="none"/>
          <w:lang w:eastAsia="zh-CN"/>
          <w14:textFill>
            <w14:solidFill>
              <w14:schemeClr w14:val="tx1"/>
            </w14:solidFill>
          </w14:textFill>
        </w:rPr>
        <w:t>；</w:t>
      </w:r>
    </w:p>
    <w:p w14:paraId="22299D3B">
      <w:pPr>
        <w:pStyle w:val="13"/>
        <w:keepNext w:val="0"/>
        <w:keepLines w:val="0"/>
        <w:pageBreakBefore w:val="0"/>
        <w:widowControl w:val="0"/>
        <w:tabs>
          <w:tab w:val="left" w:pos="1413"/>
        </w:tabs>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z w:val="32"/>
          <w:highlight w:val="none"/>
          <w:lang w:eastAsia="zh-CN"/>
          <w14:textFill>
            <w14:solidFill>
              <w14:schemeClr w14:val="tx1"/>
            </w14:solidFill>
          </w14:textFill>
        </w:rPr>
      </w:pPr>
      <w:r>
        <w:rPr>
          <w:rFonts w:hint="eastAsia" w:ascii="Times New Roman" w:hAnsi="Times New Roman"/>
          <w:color w:val="000000" w:themeColor="text1"/>
          <w:sz w:val="32"/>
          <w:highlight w:val="none"/>
          <w14:textFill>
            <w14:solidFill>
              <w14:schemeClr w14:val="tx1"/>
            </w14:solidFill>
          </w14:textFill>
        </w:rPr>
        <w:t>（三）竞价</w:t>
      </w:r>
      <w:r>
        <w:rPr>
          <w:rFonts w:ascii="Times New Roman" w:hAnsi="Times New Roman"/>
          <w:color w:val="000000" w:themeColor="text1"/>
          <w:sz w:val="32"/>
          <w:highlight w:val="none"/>
          <w14:textFill>
            <w14:solidFill>
              <w14:schemeClr w14:val="tx1"/>
            </w14:solidFill>
          </w14:textFill>
        </w:rPr>
        <w:t>药品</w:t>
      </w:r>
      <w:r>
        <w:rPr>
          <w:rFonts w:ascii="Times New Roman" w:hAnsi="Times New Roman"/>
          <w:bCs/>
          <w:color w:val="000000" w:themeColor="text1"/>
          <w:sz w:val="32"/>
          <w:highlight w:val="none"/>
          <w14:textFill>
            <w14:solidFill>
              <w14:schemeClr w14:val="tx1"/>
            </w14:solidFill>
          </w14:textFill>
        </w:rPr>
        <w:t>执行全国统一的医保支付标准，超标准</w:t>
      </w:r>
      <w:r>
        <w:rPr>
          <w:rFonts w:hint="eastAsia" w:ascii="Times New Roman" w:hAnsi="Times New Roman"/>
          <w:color w:val="000000" w:themeColor="text1"/>
          <w:sz w:val="32"/>
          <w:highlight w:val="none"/>
          <w14:textFill>
            <w14:solidFill>
              <w14:schemeClr w14:val="tx1"/>
            </w14:solidFill>
          </w14:textFill>
        </w:rPr>
        <w:t>部分</w:t>
      </w:r>
      <w:r>
        <w:rPr>
          <w:rFonts w:ascii="Times New Roman" w:hAnsi="Times New Roman"/>
          <w:color w:val="000000" w:themeColor="text1"/>
          <w:sz w:val="32"/>
          <w:highlight w:val="none"/>
          <w14:textFill>
            <w14:solidFill>
              <w14:schemeClr w14:val="tx1"/>
            </w14:solidFill>
          </w14:textFill>
        </w:rPr>
        <w:t>个人承担</w:t>
      </w:r>
      <w:r>
        <w:rPr>
          <w:rFonts w:hint="eastAsia" w:ascii="Times New Roman" w:hAnsi="Times New Roman"/>
          <w:color w:val="000000" w:themeColor="text1"/>
          <w:sz w:val="32"/>
          <w:highlight w:val="none"/>
          <w:lang w:eastAsia="zh-CN"/>
          <w14:textFill>
            <w14:solidFill>
              <w14:schemeClr w14:val="tx1"/>
            </w14:solidFill>
          </w14:textFill>
        </w:rPr>
        <w:t>；</w:t>
      </w:r>
    </w:p>
    <w:p w14:paraId="5CCA2D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pPr>
      <w:r>
        <w:rPr>
          <w:rFonts w:hint="eastAsia" w:ascii="Times New Roman" w:hAnsi="Times New Roman" w:eastAsia="仿宋_GB2312"/>
          <w:bCs/>
          <w:color w:val="000000" w:themeColor="text1"/>
          <w:sz w:val="32"/>
          <w:szCs w:val="32"/>
          <w:highlight w:val="none"/>
          <w14:textFill>
            <w14:solidFill>
              <w14:schemeClr w14:val="tx1"/>
            </w14:solidFill>
          </w14:textFill>
        </w:rPr>
        <w:t>（四）纳入</w:t>
      </w:r>
      <w:r>
        <w:rPr>
          <w:rFonts w:ascii="Times New Roman" w:hAnsi="Times New Roman" w:eastAsia="仿宋_GB2312"/>
          <w:bCs/>
          <w:color w:val="000000" w:themeColor="text1"/>
          <w:sz w:val="32"/>
          <w:szCs w:val="32"/>
          <w:highlight w:val="none"/>
          <w14:textFill>
            <w14:solidFill>
              <w14:schemeClr w14:val="tx1"/>
            </w14:solidFill>
          </w14:textFill>
        </w:rPr>
        <w:t>医保特殊药品</w:t>
      </w:r>
      <w:r>
        <w:rPr>
          <w:rFonts w:hint="eastAsia" w:ascii="Times New Roman" w:hAnsi="Times New Roman" w:eastAsia="仿宋_GB2312"/>
          <w:bCs/>
          <w:color w:val="000000" w:themeColor="text1"/>
          <w:sz w:val="32"/>
          <w:szCs w:val="32"/>
          <w:highlight w:val="none"/>
          <w14:textFill>
            <w14:solidFill>
              <w14:schemeClr w14:val="tx1"/>
            </w14:solidFill>
          </w14:textFill>
        </w:rPr>
        <w:t>管理的未实行集中带量采购</w:t>
      </w:r>
      <w:r>
        <w:rPr>
          <w:rFonts w:ascii="Times New Roman" w:hAnsi="Times New Roman" w:eastAsia="仿宋_GB2312"/>
          <w:bCs/>
          <w:color w:val="000000" w:themeColor="text1"/>
          <w:sz w:val="32"/>
          <w:szCs w:val="32"/>
          <w:highlight w:val="none"/>
          <w14:textFill>
            <w14:solidFill>
              <w14:schemeClr w14:val="tx1"/>
            </w14:solidFill>
          </w14:textFill>
        </w:rPr>
        <w:t>的</w:t>
      </w:r>
      <w:r>
        <w:rPr>
          <w:rFonts w:hint="eastAsia" w:ascii="Times New Roman" w:hAnsi="Times New Roman" w:eastAsia="仿宋_GB2312"/>
          <w:bCs/>
          <w:color w:val="000000" w:themeColor="text1"/>
          <w:sz w:val="32"/>
          <w:szCs w:val="32"/>
          <w:highlight w:val="none"/>
          <w14:textFill>
            <w14:solidFill>
              <w14:schemeClr w14:val="tx1"/>
            </w14:solidFill>
          </w14:textFill>
        </w:rPr>
        <w:t>常规</w:t>
      </w:r>
      <w:r>
        <w:rPr>
          <w:rFonts w:ascii="Times New Roman" w:hAnsi="Times New Roman" w:eastAsia="仿宋_GB2312"/>
          <w:bCs/>
          <w:color w:val="000000" w:themeColor="text1"/>
          <w:sz w:val="32"/>
          <w:szCs w:val="32"/>
          <w:highlight w:val="none"/>
          <w14:textFill>
            <w14:solidFill>
              <w14:schemeClr w14:val="tx1"/>
            </w14:solidFill>
          </w14:textFill>
        </w:rPr>
        <w:t>药品，以挂网采购价作为医保支付标准</w:t>
      </w:r>
      <w:r>
        <w:rPr>
          <w:rFonts w:hint="eastAsia" w:ascii="Times New Roman" w:hAnsi="Times New Roman" w:eastAsia="仿宋_GB2312"/>
          <w:bCs/>
          <w:color w:val="000000" w:themeColor="text1"/>
          <w:sz w:val="32"/>
          <w:szCs w:val="32"/>
          <w:highlight w:val="none"/>
          <w14:textFill>
            <w14:solidFill>
              <w14:schemeClr w14:val="tx1"/>
            </w14:solidFill>
          </w14:textFill>
        </w:rPr>
        <w:t>，</w:t>
      </w:r>
      <w:r>
        <w:rPr>
          <w:rFonts w:ascii="Times New Roman" w:hAnsi="Times New Roman" w:eastAsia="仿宋_GB2312"/>
          <w:bCs/>
          <w:color w:val="000000" w:themeColor="text1"/>
          <w:sz w:val="32"/>
          <w:szCs w:val="32"/>
          <w:highlight w:val="none"/>
          <w14:textFill>
            <w14:solidFill>
              <w14:schemeClr w14:val="tx1"/>
            </w14:solidFill>
          </w14:textFill>
        </w:rPr>
        <w:t>超标准部分</w:t>
      </w:r>
      <w:r>
        <w:rPr>
          <w:rFonts w:hint="eastAsia" w:ascii="Times New Roman" w:hAnsi="Times New Roman" w:eastAsia="仿宋_GB2312"/>
          <w:bCs/>
          <w:color w:val="000000" w:themeColor="text1"/>
          <w:sz w:val="32"/>
          <w:szCs w:val="32"/>
          <w:highlight w:val="none"/>
          <w14:textFill>
            <w14:solidFill>
              <w14:schemeClr w14:val="tx1"/>
            </w14:solidFill>
          </w14:textFill>
        </w:rPr>
        <w:t>个人</w:t>
      </w:r>
      <w:r>
        <w:rPr>
          <w:rFonts w:ascii="Times New Roman" w:hAnsi="Times New Roman" w:eastAsia="仿宋_GB2312"/>
          <w:bCs/>
          <w:color w:val="000000" w:themeColor="text1"/>
          <w:sz w:val="32"/>
          <w:szCs w:val="32"/>
          <w:highlight w:val="none"/>
          <w14:textFill>
            <w14:solidFill>
              <w14:schemeClr w14:val="tx1"/>
            </w14:solidFill>
          </w14:textFill>
        </w:rPr>
        <w:t>承担</w:t>
      </w:r>
      <w:r>
        <w:rPr>
          <w:rFonts w:hint="eastAsia" w:ascii="Times New Roman" w:hAnsi="Times New Roman" w:eastAsia="仿宋_GB2312"/>
          <w:bCs/>
          <w:color w:val="000000" w:themeColor="text1"/>
          <w:sz w:val="32"/>
          <w:szCs w:val="32"/>
          <w:highlight w:val="none"/>
          <w14:textFill>
            <w14:solidFill>
              <w14:schemeClr w14:val="tx1"/>
            </w14:solidFill>
          </w14:textFill>
        </w:rPr>
        <w:t>。</w:t>
      </w:r>
    </w:p>
    <w:p w14:paraId="69C6176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黑体"/>
          <w:sz w:val="32"/>
        </w:rPr>
        <w:t>第二十条</w:t>
      </w:r>
      <w:r>
        <w:rPr>
          <w:rFonts w:hint="eastAsia" w:ascii="Times New Roman" w:hAnsi="Times New Roman" w:eastAsia="黑体"/>
          <w:sz w:val="32"/>
          <w:lang w:val="en-US" w:eastAsia="zh-CN"/>
        </w:rPr>
        <w:t xml:space="preserve">  </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乙方应按医疗保障相关规定为参保人员即时结算医保费用，参保人员在乙方购</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买药械</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结算时，属于参保人员个人承担的费用，由乙方直接与参保人员结算，属于医保基金支付的费用，由乙方先垫付，合规费用由甲方按相关规定与乙方结算。</w:t>
      </w:r>
    </w:p>
    <w:p w14:paraId="35A87499">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乙方无正当理由不得拒绝为符合享受医保待遇条件的参保人员办理医保费用结算。乙方将参保人员购买药械品种真实</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准确录入</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医保</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信息系统，并向参保人员提供完整的医保结算单。结算单明细必须与销售小票（药店自身销售票据）及处方（处方</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药</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）相符</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，不得</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串换药械。</w:t>
      </w:r>
    </w:p>
    <w:p w14:paraId="2DF24E8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31859C" w:themeColor="accent5" w:themeShade="BF"/>
          <w:spacing w:val="0"/>
          <w:sz w:val="32"/>
          <w:szCs w:val="32"/>
          <w:highlight w:val="none"/>
          <w:lang w:eastAsia="zh-CN"/>
        </w:rPr>
      </w:pPr>
      <w:r>
        <w:rPr>
          <w:rFonts w:ascii="Times New Roman" w:hAnsi="Times New Roman" w:eastAsia="黑体"/>
          <w:color w:val="auto"/>
          <w:sz w:val="32"/>
        </w:rPr>
        <w:t>第二十</w:t>
      </w:r>
      <w:r>
        <w:rPr>
          <w:rFonts w:hint="eastAsia" w:ascii="Times New Roman" w:hAnsi="Times New Roman" w:eastAsia="黑体"/>
          <w:color w:val="auto"/>
          <w:sz w:val="32"/>
          <w:lang w:val="en-US" w:eastAsia="zh-CN"/>
        </w:rPr>
        <w:t>一</w:t>
      </w:r>
      <w:r>
        <w:rPr>
          <w:rFonts w:ascii="Times New Roman" w:hAnsi="Times New Roman" w:eastAsia="黑体"/>
          <w:color w:val="auto"/>
          <w:sz w:val="32"/>
        </w:rPr>
        <w:t>条</w:t>
      </w:r>
      <w:r>
        <w:rPr>
          <w:rFonts w:hint="eastAsia" w:ascii="Times New Roman" w:hAnsi="Times New Roman" w:eastAsia="黑体"/>
          <w:color w:val="auto"/>
          <w:sz w:val="32"/>
          <w:lang w:val="en-US" w:eastAsia="zh-CN"/>
        </w:rPr>
        <w:t xml:space="preserve">  </w:t>
      </w:r>
      <w:r>
        <w:rPr>
          <w:rFonts w:ascii="Times New Roman" w:hAnsi="Times New Roman" w:eastAsia="仿宋_GB2312" w:cs="微软雅黑"/>
          <w:snapToGrid w:val="0"/>
          <w:color w:val="auto"/>
          <w:spacing w:val="0"/>
          <w:kern w:val="0"/>
          <w:sz w:val="32"/>
          <w:szCs w:val="32"/>
          <w:lang w:val="en-US" w:eastAsia="en-US" w:bidi="ar-SA"/>
        </w:rPr>
        <w:t>为确保乙方严格履行医保协议，提高服务质量，维护医保基金安全，</w:t>
      </w:r>
      <w:r>
        <w:rPr>
          <w:rFonts w:hint="eastAsia" w:ascii="Times New Roman" w:hAnsi="Times New Roman" w:eastAsia="仿宋_GB2312" w:cs="Times New Roman"/>
          <w:bCs/>
          <w:snapToGrid/>
          <w:color w:val="auto"/>
          <w:kern w:val="0"/>
          <w:sz w:val="32"/>
          <w:szCs w:val="32"/>
          <w:lang w:val="en-US" w:eastAsia="zh-CN" w:bidi="ar-SA"/>
        </w:rPr>
        <w:t>甲方每月预留乙方统筹基金结算费用的5%</w:t>
      </w:r>
      <w:r>
        <w:rPr>
          <w:rFonts w:ascii="Times New Roman" w:hAnsi="Times New Roman" w:eastAsia="仿宋_GB2312" w:cs="微软雅黑"/>
          <w:snapToGrid w:val="0"/>
          <w:color w:val="auto"/>
          <w:spacing w:val="0"/>
          <w:kern w:val="0"/>
          <w:sz w:val="32"/>
          <w:szCs w:val="32"/>
          <w:lang w:val="en-US" w:eastAsia="en-US" w:bidi="ar-SA"/>
        </w:rPr>
        <w:t>，作为质量保证金。甲方根据乙方履行协议情况、考核结果等，与乙方清算质量保证金。</w:t>
      </w:r>
    </w:p>
    <w:p w14:paraId="289FA73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第二十</w:t>
      </w:r>
      <w:r>
        <w:rPr>
          <w:rFonts w:hint="eastAsia" w:ascii="Times New Roman" w:hAnsi="Times New Roman" w:eastAsia="黑体"/>
          <w:color w:val="000000" w:themeColor="text1"/>
          <w:sz w:val="32"/>
          <w:lang w:val="en-US" w:eastAsia="zh-CN"/>
          <w14:textFill>
            <w14:solidFill>
              <w14:schemeClr w14:val="tx1"/>
            </w14:solidFill>
          </w14:textFill>
        </w:rPr>
        <w:t>二</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乙方应加强内部管理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建立医保费用内部审核制度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开展自查及内部医保费用审核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定期对发生的医保费用进行分析</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3F39F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乙方应当按要求向甲方申报医保费用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如实提供费用结算单据和相关资料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并留存费用清单、票据等相关资料备查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确保申请结算的材料完整、真实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08AB1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乙方不得将处于中止医保协议期间的零售药店或非定点零售药店的费用纳入申请医保结算范围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90682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olor w:val="00B050"/>
          <w:spacing w:val="0"/>
          <w:sz w:val="32"/>
          <w:szCs w:val="32"/>
          <w:highlight w:val="none"/>
          <w:lang w:eastAsia="zh-CN"/>
        </w:rPr>
      </w:pPr>
      <w:r>
        <w:rPr>
          <w:rFonts w:ascii="Times New Roman" w:hAnsi="Times New Roman" w:eastAsia="仿宋_GB2312"/>
          <w:color w:val="000000" w:themeColor="text1"/>
          <w:spacing w:val="0"/>
          <w:sz w:val="32"/>
          <w:szCs w:val="32"/>
          <w:highlight w:val="none"/>
          <w14:textFill>
            <w14:solidFill>
              <w14:schemeClr w14:val="tx1"/>
            </w14:solidFill>
          </w14:textFill>
        </w:rPr>
        <w:t>乙方开通</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医保特殊</w:t>
      </w:r>
      <w:r>
        <w:rPr>
          <w:rFonts w:ascii="Times New Roman" w:hAnsi="Times New Roman" w:eastAsia="仿宋_GB2312"/>
          <w:color w:val="000000" w:themeColor="text1"/>
          <w:spacing w:val="0"/>
          <w:sz w:val="32"/>
          <w:szCs w:val="32"/>
          <w:highlight w:val="none"/>
          <w14:textFill>
            <w14:solidFill>
              <w14:schemeClr w14:val="tx1"/>
            </w14:solidFill>
          </w14:textFill>
        </w:rPr>
        <w:t>药品购药服务的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不得将未开通</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医保特殊药品</w:t>
      </w:r>
      <w:r>
        <w:rPr>
          <w:rFonts w:ascii="Times New Roman" w:hAnsi="Times New Roman" w:eastAsia="仿宋_GB2312"/>
          <w:color w:val="000000" w:themeColor="text1"/>
          <w:spacing w:val="0"/>
          <w:sz w:val="32"/>
          <w:szCs w:val="32"/>
          <w:highlight w:val="none"/>
          <w14:textFill>
            <w14:solidFill>
              <w14:schemeClr w14:val="tx1"/>
            </w14:solidFill>
          </w14:textFill>
        </w:rPr>
        <w:t>服务的零售药店费用纳入申请医保结算范围</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1BF621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甲方对乙方申报的费用应建立规范的初审、复审两级审核机制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乙方应配合甲方的审核工作，并提供必要的协助</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通过</w:t>
      </w:r>
      <w:r>
        <w:rPr>
          <w:rFonts w:hint="eastAsia" w:ascii="Times New Roman" w:hAnsi="Times New Roman" w:eastAsia="仿宋_GB2312" w:cs="Times New Roman"/>
          <w:bCs/>
          <w:snapToGrid/>
          <w:kern w:val="0"/>
          <w:sz w:val="32"/>
          <w:szCs w:val="32"/>
          <w:highlight w:val="none"/>
          <w:lang w:val="en-US" w:eastAsia="zh-CN" w:bidi="ar-SA"/>
        </w:rPr>
        <w:t>国家医疗保障信息平台智能监管子系统</w:t>
      </w:r>
      <w:r>
        <w:rPr>
          <w:rFonts w:ascii="Times New Roman" w:hAnsi="Times New Roman" w:eastAsia="仿宋_GB2312"/>
          <w:color w:val="000000" w:themeColor="text1"/>
          <w:spacing w:val="0"/>
          <w:sz w:val="32"/>
          <w:szCs w:val="32"/>
          <w14:textFill>
            <w14:solidFill>
              <w14:schemeClr w14:val="tx1"/>
            </w14:solidFill>
          </w14:textFill>
        </w:rPr>
        <w:t>实现对乙方申报的费用100%全覆盖初审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初审发现的疑似违规费用应当通过现场核查等方式核实</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乙方应无条件配合并提供必要的协助</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对初审通过的费用采取随机抽查方式进行复审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7D802C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甲方定期开展的定点医疗机构与定点零售药店之间外配处方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对外配处方量多、金额较大或数据异常波动的重点核查等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涉及乙方费用的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乙方应积极配合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F7952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黑体"/>
          <w:sz w:val="32"/>
          <w:highlight w:val="none"/>
        </w:rPr>
        <w:t>第二十</w:t>
      </w:r>
      <w:r>
        <w:rPr>
          <w:rFonts w:hint="eastAsia" w:ascii="Times New Roman" w:hAnsi="Times New Roman" w:eastAsia="黑体"/>
          <w:sz w:val="32"/>
          <w:highlight w:val="none"/>
          <w:lang w:val="en-US" w:eastAsia="zh-CN"/>
        </w:rPr>
        <w:t>五</w:t>
      </w:r>
      <w:r>
        <w:rPr>
          <w:rFonts w:ascii="Times New Roman" w:hAnsi="Times New Roman" w:eastAsia="黑体"/>
          <w:sz w:val="32"/>
          <w:highlight w:val="none"/>
        </w:rPr>
        <w:t>条</w:t>
      </w:r>
      <w:r>
        <w:rPr>
          <w:rFonts w:hint="eastAsia" w:ascii="Times New Roman" w:hAnsi="Times New Roman" w:eastAsia="黑体"/>
          <w:sz w:val="32"/>
          <w:highlight w:val="none"/>
          <w:lang w:val="en-US" w:eastAsia="zh-CN"/>
        </w:rPr>
        <w:t xml:space="preserve">  </w:t>
      </w:r>
      <w:r>
        <w:rPr>
          <w:rFonts w:ascii="Times New Roman" w:hAnsi="Times New Roman" w:eastAsia="仿宋_GB2312"/>
          <w:color w:val="000000" w:themeColor="text1"/>
          <w:spacing w:val="0"/>
          <w:sz w:val="32"/>
          <w:szCs w:val="32"/>
          <w:highlight w:val="none"/>
          <w14:textFill>
            <w14:solidFill>
              <w14:schemeClr w14:val="tx1"/>
            </w14:solidFill>
          </w14:textFill>
        </w:rPr>
        <w:t>甲方应按照医保支付政策与乙方结算医保费用</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仿宋_GB2312" w:cs="Times New Roman"/>
          <w:bCs/>
          <w:snapToGrid/>
          <w:kern w:val="0"/>
          <w:sz w:val="32"/>
          <w:szCs w:val="32"/>
          <w:highlight w:val="none"/>
          <w:lang w:val="en-US" w:eastAsia="zh-CN" w:bidi="ar-SA"/>
        </w:rPr>
        <w:t>甲方原则上应当在乙方申报医保费用后</w:t>
      </w:r>
      <w:r>
        <w:rPr>
          <w:rFonts w:hint="eastAsia" w:ascii="Times New Roman" w:hAnsi="Times New Roman" w:eastAsia="仿宋_GB2312" w:cs="Times New Roman"/>
          <w:bCs/>
          <w:snapToGrid/>
          <w:color w:val="auto"/>
          <w:kern w:val="0"/>
          <w:sz w:val="32"/>
          <w:szCs w:val="32"/>
          <w:highlight w:val="none"/>
          <w:lang w:val="en-US" w:eastAsia="zh-CN" w:bidi="ar-SA"/>
        </w:rPr>
        <w:t>不超过20个工作日</w:t>
      </w:r>
      <w:r>
        <w:rPr>
          <w:rFonts w:hint="eastAsia" w:ascii="Times New Roman" w:hAnsi="Times New Roman" w:eastAsia="仿宋_GB2312" w:cs="Times New Roman"/>
          <w:bCs/>
          <w:snapToGrid/>
          <w:kern w:val="0"/>
          <w:sz w:val="32"/>
          <w:szCs w:val="32"/>
          <w:highlight w:val="none"/>
          <w:lang w:val="en-US" w:eastAsia="zh-CN" w:bidi="ar-SA"/>
        </w:rPr>
        <w:t>拨付符合规定的医保费用</w:t>
      </w:r>
      <w:r>
        <w:rPr>
          <w:rFonts w:ascii="Times New Roman" w:hAnsi="Times New Roman" w:eastAsia="仿宋_GB2312"/>
          <w:color w:val="000000" w:themeColor="text1"/>
          <w:spacing w:val="0"/>
          <w:sz w:val="32"/>
          <w:szCs w:val="32"/>
          <w:highlight w:val="none"/>
          <w14:textFill>
            <w14:solidFill>
              <w14:schemeClr w14:val="tx1"/>
            </w14:solidFill>
          </w14:textFill>
        </w:rPr>
        <w:t>（遇系统</w:t>
      </w:r>
      <w:r>
        <w:rPr>
          <w:rFonts w:hint="eastAsia" w:ascii="Times New Roman" w:hAnsi="Times New Roman" w:eastAsia="仿宋_GB2312"/>
          <w:color w:val="000000" w:themeColor="text1"/>
          <w:spacing w:val="0"/>
          <w:sz w:val="32"/>
          <w:szCs w:val="32"/>
          <w:highlight w:val="none"/>
          <w14:textFill>
            <w14:solidFill>
              <w14:schemeClr w14:val="tx1"/>
            </w14:solidFill>
          </w14:textFill>
        </w:rPr>
        <w:t>故障</w:t>
      </w:r>
      <w:r>
        <w:rPr>
          <w:rFonts w:ascii="Times New Roman" w:hAnsi="Times New Roman" w:eastAsia="仿宋_GB2312"/>
          <w:color w:val="000000" w:themeColor="text1"/>
          <w:spacing w:val="0"/>
          <w:sz w:val="32"/>
          <w:szCs w:val="32"/>
          <w:highlight w:val="none"/>
          <w14:textFill>
            <w14:solidFill>
              <w14:schemeClr w14:val="tx1"/>
            </w14:solidFill>
          </w14:textFill>
        </w:rPr>
        <w:t>等特殊情况顺延）</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甲方超出约定时限不予拨付的</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乙方可提请同级医疗保障行政部门协调处理</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210D9C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第二十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甲乙双方对费用审核结果存在争议的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可提请同级医疗保障行政部门协调处理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F638D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第二十</w:t>
      </w:r>
      <w:r>
        <w:rPr>
          <w:rFonts w:hint="eastAsia" w:ascii="Times New Roman" w:hAnsi="Times New Roman" w:eastAsia="黑体"/>
          <w:color w:val="000000" w:themeColor="text1"/>
          <w:sz w:val="32"/>
          <w:lang w:val="en-US" w:eastAsia="zh-CN"/>
          <w14:textFill>
            <w14:solidFill>
              <w14:schemeClr w14:val="tx1"/>
            </w14:solidFill>
          </w14:textFill>
        </w:rPr>
        <w:t>七</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乙方应提供一个按中国人民银行规定开立的基本存款账户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用于办理医保基金收付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乙方不得以现金支付方式结算药械购置款</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甲方以银行转账的方式向乙方拨付医保费用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63008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二十八</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甲方建立并完善基金收付对账机制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与乙方定期核对账目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并与乙方开展年终清算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A6820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双方完成费用清算后甲方不予支付的费用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乙方不得作为医保欠费处理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不得长期挂账不予处理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5898C4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二十九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z w:val="32"/>
          <w:szCs w:val="32"/>
          <w:highlight w:val="none"/>
          <w14:textFill>
            <w14:solidFill>
              <w14:schemeClr w14:val="tx1"/>
            </w14:solidFill>
          </w14:textFill>
        </w:rPr>
        <w:t>相关医保费用需进一步调查核实的，可</w:t>
      </w:r>
      <w:r>
        <w:rPr>
          <w:rFonts w:hint="eastAsia" w:ascii="Times New Roman" w:hAnsi="Times New Roman" w:eastAsia="仿宋_GB2312"/>
          <w:color w:val="000000" w:themeColor="text1"/>
          <w:sz w:val="32"/>
          <w:szCs w:val="32"/>
          <w:highlight w:val="none"/>
          <w14:textFill>
            <w14:solidFill>
              <w14:schemeClr w14:val="tx1"/>
            </w14:solidFill>
          </w14:textFill>
        </w:rPr>
        <w:t>暂缓拨付待核实的费用。</w:t>
      </w:r>
      <w:r>
        <w:rPr>
          <w:rFonts w:ascii="Times New Roman" w:hAnsi="Times New Roman" w:eastAsia="仿宋_GB2312"/>
          <w:color w:val="000000" w:themeColor="text1"/>
          <w:sz w:val="32"/>
          <w:szCs w:val="32"/>
          <w:highlight w:val="none"/>
          <w14:textFill>
            <w14:solidFill>
              <w14:schemeClr w14:val="tx1"/>
            </w14:solidFill>
          </w14:textFill>
        </w:rPr>
        <w:t>经核实的乙方违法</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违规</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违约费用，甲方不予支付，已经支付的责令退回</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并承担全部责任</w:t>
      </w:r>
      <w:r>
        <w:rPr>
          <w:rFonts w:ascii="Times New Roman" w:hAnsi="Times New Roman" w:eastAsia="仿宋_GB2312"/>
          <w:color w:val="000000" w:themeColor="text1"/>
          <w:sz w:val="32"/>
          <w:szCs w:val="32"/>
          <w:highlight w:val="none"/>
          <w14:textFill>
            <w14:solidFill>
              <w14:schemeClr w14:val="tx1"/>
            </w14:solidFill>
          </w14:textFill>
        </w:rPr>
        <w:t>。</w:t>
      </w:r>
    </w:p>
    <w:p w14:paraId="18AFB53F">
      <w:pPr>
        <w:pStyle w:val="2"/>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Arial"/>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Arial"/>
          <w:snapToGrid w:val="0"/>
          <w:color w:val="000000" w:themeColor="text1"/>
          <w:kern w:val="0"/>
          <w:sz w:val="32"/>
          <w:szCs w:val="32"/>
          <w:highlight w:val="none"/>
          <w:lang w:val="en-US" w:eastAsia="zh-CN" w:bidi="ar-SA"/>
          <w14:textFill>
            <w14:solidFill>
              <w14:schemeClr w14:val="tx1"/>
            </w14:solidFill>
          </w14:textFill>
        </w:rPr>
        <w:t>经核实后属于违规费用的，甲方不予支付，已经支付给乙方的，乙方应按要求及时退回。</w:t>
      </w:r>
    </w:p>
    <w:p w14:paraId="366FA47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Arial"/>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Arial"/>
          <w:snapToGrid w:val="0"/>
          <w:color w:val="000000" w:themeColor="text1"/>
          <w:kern w:val="0"/>
          <w:sz w:val="32"/>
          <w:szCs w:val="32"/>
          <w:highlight w:val="none"/>
          <w:lang w:val="en-US" w:eastAsia="zh-CN" w:bidi="ar-SA"/>
          <w14:textFill>
            <w14:solidFill>
              <w14:schemeClr w14:val="tx1"/>
            </w14:solidFill>
          </w14:textFill>
        </w:rPr>
        <w:t>甲方不予支付的费用，乙方按医保协议约定被扣除的质量保证金及其支付的违约金等乙方不得作为医保欠费处理。</w:t>
      </w:r>
    </w:p>
    <w:p w14:paraId="58D816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甲方在已支付的药械费用中，发现乙方虚假申报或违反规定的，甲方有权追溯并对违规费用进行扣除，涉嫌欺诈骗保的，按相关法律法规规定处理。</w:t>
      </w:r>
    </w:p>
    <w:p w14:paraId="0DAEB04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第三十条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中华人民共和国会计法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等有关要求进行会计核算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乙方使用会计软件等会计信息系统进行会计核算的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应当能够确保甲方现场核查时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准确完整有效读取或解析电子会计数据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48D86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乙方为总公司统一管理财务的连锁零售药店的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应设立门店财务会计账目和信息获取权限</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能够为甲方在门店核查财务会计账目和进销存情况提供条件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A51DC8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黑体"/>
          <w:sz w:val="32"/>
        </w:rPr>
        <w:t>第三十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乙方应当按照规定保管财务账目、会计凭证、处方、费用明细等原始资料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乙方应保存全部经营数据供医疗保障部门查验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且乙方应确保数据的真实性和完整性，甲方有权随时要求乙方提供数据备份</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21ACD0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乙方会计账目、会计凭证以及相关会计材料保存年限应符合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会计档案管理办法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应确保会计核算资料的真实性、完整性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以备医疗保障部门查验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DE581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乙方应将参保人员医保目录内药品外配处方、药械费用清单及相关票据等医疗保障结算资料（以下简称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结算资料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）保存2年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且保存年限应符合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处方管理办法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以备医疗保障部门查验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结算资料应当真实、准确、完整、清晰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且与实际情况相符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99DBD0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乙方应按年度对结算资料进行立卷归档</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相关结算资料须加盖乙方公章</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乙方应严格执行有关票据管理办法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票据或相关财务凭证丢失、损毁的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应当在规定时限内向甲方备案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AF33A6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14:paraId="4A5DDF3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第四章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药械价格与集采</w:t>
      </w:r>
    </w:p>
    <w:p w14:paraId="76E8A0DC">
      <w:pPr>
        <w:pStyle w:val="2"/>
        <w:keepNext w:val="0"/>
        <w:keepLines w:val="0"/>
        <w:pageBreakBefore w:val="0"/>
        <w:numPr>
          <w:ilvl w:val="0"/>
          <w:numId w:val="0"/>
        </w:numPr>
        <w:kinsoku/>
        <w:wordWrap/>
        <w:overflowPunct/>
        <w:topLinePunct w:val="0"/>
        <w:autoSpaceDE w:val="0"/>
        <w:autoSpaceDN w:val="0"/>
        <w:bidi w:val="0"/>
        <w:adjustRightInd w:val="0"/>
        <w:snapToGrid w:val="0"/>
        <w:spacing w:line="560" w:lineRule="exact"/>
        <w:textAlignment w:val="baseline"/>
        <w:rPr>
          <w:rFonts w:hint="eastAsia"/>
          <w:sz w:val="21"/>
          <w:szCs w:val="21"/>
          <w:lang w:val="en-US" w:eastAsia="en-US"/>
        </w:rPr>
      </w:pPr>
    </w:p>
    <w:p w14:paraId="6EF133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第三十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乙方应当按照公平、合理和诚实信用、质价相符合的原则制定</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药械</w:t>
      </w:r>
      <w:r>
        <w:rPr>
          <w:rFonts w:ascii="Times New Roman" w:hAnsi="Times New Roman" w:eastAsia="仿宋_GB2312"/>
          <w:color w:val="000000" w:themeColor="text1"/>
          <w:spacing w:val="0"/>
          <w:sz w:val="32"/>
          <w:szCs w:val="32"/>
          <w14:textFill>
            <w14:solidFill>
              <w14:schemeClr w14:val="tx1"/>
            </w14:solidFill>
          </w14:textFill>
        </w:rPr>
        <w:t>价格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自觉遵守药械价格相关的各项法律法规和政策规定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配合履行各项价格义务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协议期内谈判药品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乙方销售价格按照不高于国家统一制定的医保支付标准执行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271853B">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bCs/>
          <w:color w:val="auto"/>
          <w:sz w:val="32"/>
          <w:szCs w:val="32"/>
        </w:rPr>
      </w:pPr>
      <w:r>
        <w:rPr>
          <w:rFonts w:ascii="Times New Roman" w:hAnsi="Times New Roman" w:eastAsia="黑体"/>
          <w:color w:val="auto"/>
          <w:sz w:val="32"/>
        </w:rPr>
        <w:t>第三十</w:t>
      </w:r>
      <w:r>
        <w:rPr>
          <w:rFonts w:hint="eastAsia" w:ascii="Times New Roman" w:hAnsi="Times New Roman" w:eastAsia="黑体"/>
          <w:color w:val="auto"/>
          <w:sz w:val="32"/>
          <w:lang w:val="en-US" w:eastAsia="zh-CN"/>
        </w:rPr>
        <w:t>三</w:t>
      </w:r>
      <w:r>
        <w:rPr>
          <w:rFonts w:ascii="Times New Roman" w:hAnsi="Times New Roman" w:eastAsia="黑体"/>
          <w:color w:val="auto"/>
          <w:sz w:val="32"/>
        </w:rPr>
        <w:t>条</w:t>
      </w:r>
      <w:r>
        <w:rPr>
          <w:rFonts w:hint="eastAsia" w:ascii="Times New Roman" w:hAnsi="Times New Roman" w:eastAsia="黑体"/>
          <w:color w:val="auto"/>
          <w:sz w:val="32"/>
          <w:lang w:val="en-US" w:eastAsia="zh-CN"/>
        </w:rPr>
        <w:t xml:space="preserve">  </w:t>
      </w:r>
      <w:r>
        <w:rPr>
          <w:rFonts w:ascii="Times New Roman" w:hAnsi="Times New Roman" w:eastAsia="仿宋_GB2312"/>
          <w:bCs/>
          <w:color w:val="auto"/>
          <w:sz w:val="32"/>
          <w:szCs w:val="32"/>
        </w:rPr>
        <w:t>乙方</w:t>
      </w:r>
      <w:r>
        <w:rPr>
          <w:rFonts w:hint="eastAsia" w:ascii="Times New Roman" w:hAnsi="Times New Roman" w:eastAsia="仿宋_GB2312"/>
          <w:bCs/>
          <w:color w:val="auto"/>
          <w:sz w:val="32"/>
          <w:szCs w:val="32"/>
        </w:rPr>
        <w:t>应严格执行国家和青海省医疗保障部门制定的药械价格政策</w:t>
      </w:r>
      <w:r>
        <w:rPr>
          <w:rFonts w:ascii="Times New Roman" w:hAnsi="Times New Roman" w:eastAsia="仿宋_GB2312"/>
          <w:bCs/>
          <w:color w:val="auto"/>
          <w:sz w:val="32"/>
          <w:szCs w:val="32"/>
        </w:rPr>
        <w:t>，按照公平、合理、诚实</w:t>
      </w:r>
      <w:r>
        <w:rPr>
          <w:rFonts w:hint="eastAsia" w:ascii="Times New Roman" w:hAnsi="Times New Roman" w:eastAsia="仿宋_GB2312"/>
          <w:bCs/>
          <w:color w:val="auto"/>
          <w:sz w:val="32"/>
          <w:szCs w:val="32"/>
        </w:rPr>
        <w:t>、守信、</w:t>
      </w:r>
      <w:r>
        <w:rPr>
          <w:rFonts w:ascii="Times New Roman" w:hAnsi="Times New Roman" w:eastAsia="仿宋_GB2312"/>
          <w:bCs/>
          <w:color w:val="auto"/>
          <w:sz w:val="32"/>
          <w:szCs w:val="32"/>
        </w:rPr>
        <w:t>质价相符的原则</w:t>
      </w:r>
      <w:r>
        <w:rPr>
          <w:rFonts w:hint="eastAsia" w:ascii="Times New Roman" w:hAnsi="Times New Roman" w:eastAsia="仿宋_GB2312"/>
          <w:bCs/>
          <w:color w:val="auto"/>
          <w:sz w:val="32"/>
          <w:szCs w:val="32"/>
        </w:rPr>
        <w:t>，发挥</w:t>
      </w:r>
      <w:r>
        <w:rPr>
          <w:rFonts w:ascii="Times New Roman" w:hAnsi="Times New Roman" w:eastAsia="仿宋_GB2312"/>
          <w:bCs/>
          <w:color w:val="auto"/>
          <w:sz w:val="32"/>
          <w:szCs w:val="32"/>
        </w:rPr>
        <w:t>定点属性，合理</w:t>
      </w:r>
      <w:r>
        <w:rPr>
          <w:rFonts w:hint="eastAsia" w:ascii="Times New Roman" w:hAnsi="Times New Roman" w:eastAsia="仿宋_GB2312"/>
          <w:bCs/>
          <w:color w:val="auto"/>
          <w:sz w:val="32"/>
          <w:szCs w:val="32"/>
        </w:rPr>
        <w:t>确</w:t>
      </w:r>
      <w:r>
        <w:rPr>
          <w:rFonts w:ascii="Times New Roman" w:hAnsi="Times New Roman" w:eastAsia="仿宋_GB2312"/>
          <w:bCs/>
          <w:color w:val="auto"/>
          <w:sz w:val="32"/>
          <w:szCs w:val="32"/>
        </w:rPr>
        <w:t>定价格。</w:t>
      </w:r>
    </w:p>
    <w:p w14:paraId="1E70C349">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bCs/>
          <w:color w:val="auto"/>
          <w:sz w:val="32"/>
          <w:szCs w:val="32"/>
        </w:rPr>
      </w:pPr>
      <w:r>
        <w:rPr>
          <w:rFonts w:ascii="Times New Roman" w:hAnsi="Times New Roman" w:eastAsia="仿宋_GB2312"/>
          <w:bCs/>
          <w:color w:val="auto"/>
          <w:sz w:val="32"/>
          <w:szCs w:val="32"/>
        </w:rPr>
        <w:t>（一）</w:t>
      </w:r>
      <w:r>
        <w:rPr>
          <w:rFonts w:hint="eastAsia" w:ascii="Times New Roman" w:hAnsi="Times New Roman" w:eastAsia="仿宋_GB2312"/>
          <w:bCs/>
          <w:color w:val="auto"/>
          <w:sz w:val="32"/>
          <w:szCs w:val="32"/>
        </w:rPr>
        <w:t>协议期</w:t>
      </w:r>
      <w:r>
        <w:rPr>
          <w:rFonts w:ascii="Times New Roman" w:hAnsi="Times New Roman" w:eastAsia="仿宋_GB2312"/>
          <w:bCs/>
          <w:color w:val="auto"/>
          <w:sz w:val="32"/>
          <w:szCs w:val="32"/>
        </w:rPr>
        <w:t>内国家医保谈判药品以</w:t>
      </w:r>
      <w:r>
        <w:rPr>
          <w:rFonts w:hint="eastAsia" w:ascii="Times New Roman" w:hAnsi="Times New Roman" w:eastAsia="仿宋_GB2312"/>
          <w:bCs/>
          <w:color w:val="auto"/>
          <w:sz w:val="32"/>
          <w:szCs w:val="32"/>
        </w:rPr>
        <w:t>医保</w:t>
      </w:r>
      <w:r>
        <w:rPr>
          <w:rFonts w:ascii="Times New Roman" w:hAnsi="Times New Roman" w:eastAsia="仿宋_GB2312"/>
          <w:bCs/>
          <w:color w:val="auto"/>
          <w:sz w:val="32"/>
          <w:szCs w:val="32"/>
        </w:rPr>
        <w:t>支付标准</w:t>
      </w:r>
      <w:r>
        <w:rPr>
          <w:rFonts w:hint="eastAsia" w:ascii="Times New Roman" w:hAnsi="Times New Roman" w:eastAsia="仿宋_GB2312"/>
          <w:bCs/>
          <w:color w:val="auto"/>
          <w:sz w:val="32"/>
          <w:szCs w:val="32"/>
        </w:rPr>
        <w:t>为</w:t>
      </w:r>
      <w:r>
        <w:rPr>
          <w:rFonts w:ascii="Times New Roman" w:hAnsi="Times New Roman" w:eastAsia="仿宋_GB2312"/>
          <w:bCs/>
          <w:color w:val="auto"/>
          <w:sz w:val="32"/>
          <w:szCs w:val="32"/>
        </w:rPr>
        <w:t>销售</w:t>
      </w:r>
      <w:r>
        <w:rPr>
          <w:rFonts w:hint="eastAsia" w:ascii="Times New Roman" w:hAnsi="Times New Roman" w:eastAsia="仿宋_GB2312"/>
          <w:bCs/>
          <w:color w:val="auto"/>
          <w:sz w:val="32"/>
          <w:szCs w:val="32"/>
        </w:rPr>
        <w:t>价格</w:t>
      </w:r>
      <w:r>
        <w:rPr>
          <w:rFonts w:ascii="Times New Roman" w:hAnsi="Times New Roman" w:eastAsia="仿宋_GB2312"/>
          <w:bCs/>
          <w:color w:val="auto"/>
          <w:sz w:val="32"/>
          <w:szCs w:val="32"/>
        </w:rPr>
        <w:t>，不得加价。</w:t>
      </w:r>
    </w:p>
    <w:p w14:paraId="72112DED">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bCs/>
          <w:color w:val="auto"/>
          <w:sz w:val="32"/>
          <w:szCs w:val="32"/>
        </w:rPr>
      </w:pPr>
      <w:r>
        <w:rPr>
          <w:rFonts w:ascii="Times New Roman" w:hAnsi="Times New Roman" w:eastAsia="仿宋_GB2312"/>
          <w:bCs/>
          <w:color w:val="auto"/>
          <w:sz w:val="32"/>
          <w:szCs w:val="32"/>
        </w:rPr>
        <w:t>（二）</w:t>
      </w:r>
      <w:r>
        <w:rPr>
          <w:rFonts w:hint="eastAsia" w:ascii="Times New Roman" w:hAnsi="Times New Roman" w:eastAsia="仿宋_GB2312"/>
          <w:bCs/>
          <w:color w:val="auto"/>
          <w:sz w:val="32"/>
          <w:szCs w:val="32"/>
        </w:rPr>
        <w:t>集中带量采购中选药品，在中选价格基础上按不超过15%加价销售，鼓励医保定点零售医药企业按照中选价格“零差率”销售中选药品。</w:t>
      </w:r>
    </w:p>
    <w:p w14:paraId="147E4FEF">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bCs/>
          <w:color w:val="auto"/>
          <w:sz w:val="32"/>
          <w:szCs w:val="32"/>
          <w:highlight w:val="none"/>
          <w:lang w:eastAsia="zh-CN"/>
        </w:rPr>
      </w:pPr>
      <w:r>
        <w:rPr>
          <w:rFonts w:ascii="Times New Roman" w:hAnsi="Times New Roman" w:eastAsia="仿宋_GB2312"/>
          <w:bCs/>
          <w:color w:val="auto"/>
          <w:sz w:val="32"/>
          <w:szCs w:val="32"/>
          <w:highlight w:val="none"/>
        </w:rPr>
        <w:t>（三）中药饮片加价率严格控制在实际购进价格的25%以内。</w:t>
      </w:r>
    </w:p>
    <w:p w14:paraId="066C878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FF"/>
          <w:spacing w:val="0"/>
          <w:sz w:val="32"/>
          <w:szCs w:val="32"/>
          <w:lang w:eastAsia="zh-CN"/>
        </w:rPr>
      </w:pPr>
      <w:r>
        <w:rPr>
          <w:rFonts w:ascii="Times New Roman" w:hAnsi="Times New Roman" w:eastAsia="仿宋_GB2312"/>
          <w:bCs/>
          <w:color w:val="auto"/>
          <w:sz w:val="32"/>
          <w:szCs w:val="32"/>
        </w:rPr>
        <w:t>乙方销售的药械价格应明码标价，使用医保</w:t>
      </w:r>
      <w:r>
        <w:rPr>
          <w:rFonts w:hint="eastAsia" w:ascii="Times New Roman" w:hAnsi="Times New Roman" w:eastAsia="仿宋_GB2312"/>
          <w:bCs/>
          <w:color w:val="auto"/>
          <w:sz w:val="32"/>
          <w:szCs w:val="32"/>
        </w:rPr>
        <w:t>码</w:t>
      </w:r>
      <w:r>
        <w:rPr>
          <w:rFonts w:ascii="Times New Roman" w:hAnsi="Times New Roman" w:eastAsia="仿宋_GB2312"/>
          <w:bCs/>
          <w:color w:val="auto"/>
          <w:sz w:val="32"/>
          <w:szCs w:val="32"/>
        </w:rPr>
        <w:t>、社会保障卡</w:t>
      </w:r>
      <w:r>
        <w:rPr>
          <w:rFonts w:hint="eastAsia" w:ascii="Times New Roman" w:hAnsi="Times New Roman" w:eastAsia="仿宋_GB2312"/>
          <w:bCs/>
          <w:color w:val="auto"/>
          <w:sz w:val="32"/>
          <w:szCs w:val="32"/>
        </w:rPr>
        <w:t>等</w:t>
      </w:r>
      <w:r>
        <w:rPr>
          <w:rFonts w:ascii="Times New Roman" w:hAnsi="Times New Roman" w:eastAsia="仿宋_GB2312"/>
          <w:bCs/>
          <w:color w:val="auto"/>
          <w:sz w:val="32"/>
          <w:szCs w:val="32"/>
        </w:rPr>
        <w:t>介质</w:t>
      </w:r>
      <w:r>
        <w:rPr>
          <w:rFonts w:hint="eastAsia" w:ascii="Times New Roman" w:hAnsi="Times New Roman" w:eastAsia="仿宋_GB2312"/>
          <w:bCs/>
          <w:color w:val="auto"/>
          <w:sz w:val="32"/>
          <w:szCs w:val="32"/>
        </w:rPr>
        <w:t>结算</w:t>
      </w:r>
      <w:r>
        <w:rPr>
          <w:rFonts w:ascii="Times New Roman" w:hAnsi="Times New Roman" w:eastAsia="仿宋_GB2312"/>
          <w:bCs/>
          <w:color w:val="auto"/>
          <w:sz w:val="32"/>
          <w:szCs w:val="32"/>
        </w:rPr>
        <w:t>价格与现金购买价格应当保持一致。</w:t>
      </w:r>
    </w:p>
    <w:p w14:paraId="25A775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第三十</w:t>
      </w:r>
      <w:r>
        <w:rPr>
          <w:rFonts w:hint="eastAsia" w:ascii="Times New Roman" w:hAnsi="Times New Roman" w:eastAsia="黑体"/>
          <w:color w:val="000000" w:themeColor="text1"/>
          <w:sz w:val="32"/>
          <w:lang w:val="en-US" w:eastAsia="zh-CN"/>
          <w14:textFill>
            <w14:solidFill>
              <w14:schemeClr w14:val="tx1"/>
            </w14:solidFill>
          </w14:textFill>
        </w:rPr>
        <w:t>四</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乙方应明码标识、如实公开公示所提供的药械价格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自觉接受社会监督和行政监管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64F40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14:paraId="5FA037D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14:paraId="770772D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第五章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医保信息系统</w:t>
      </w:r>
    </w:p>
    <w:p w14:paraId="7CBD83B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21"/>
          <w:szCs w:val="21"/>
          <w:lang w:val="en-US" w:eastAsia="en-US" w:bidi="ar-SA"/>
        </w:rPr>
      </w:pPr>
    </w:p>
    <w:p w14:paraId="5372D673">
      <w:pPr>
        <w:pStyle w:val="13"/>
        <w:keepNext w:val="0"/>
        <w:keepLines w:val="0"/>
        <w:pageBreakBefore w:val="0"/>
        <w:widowControl w:val="0"/>
        <w:tabs>
          <w:tab w:val="left" w:pos="1413"/>
        </w:tabs>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color w:val="000000" w:themeColor="text1"/>
          <w:sz w:val="32"/>
          <w:highlight w:val="none"/>
          <w14:textFill>
            <w14:solidFill>
              <w14:schemeClr w14:val="tx1"/>
            </w14:solidFill>
          </w14:textFill>
        </w:rPr>
      </w:pPr>
      <w:r>
        <w:rPr>
          <w:rFonts w:ascii="Times New Roman" w:hAnsi="Times New Roman" w:eastAsia="黑体"/>
          <w:bCs/>
          <w:color w:val="000000" w:themeColor="text1"/>
          <w:kern w:val="0"/>
          <w:sz w:val="32"/>
          <w:szCs w:val="36"/>
          <w:highlight w:val="none"/>
          <w14:textFill>
            <w14:solidFill>
              <w14:schemeClr w14:val="tx1"/>
            </w14:solidFill>
          </w14:textFill>
        </w:rPr>
        <w:t>第</w:t>
      </w:r>
      <w:r>
        <w:rPr>
          <w:rFonts w:hint="eastAsia" w:ascii="Times New Roman" w:hAnsi="Times New Roman" w:eastAsia="黑体"/>
          <w:bCs/>
          <w:color w:val="000000" w:themeColor="text1"/>
          <w:kern w:val="0"/>
          <w:sz w:val="32"/>
          <w:highlight w:val="none"/>
          <w14:textFill>
            <w14:solidFill>
              <w14:schemeClr w14:val="tx1"/>
            </w14:solidFill>
          </w14:textFill>
        </w:rPr>
        <w:t>三十</w:t>
      </w:r>
      <w:r>
        <w:rPr>
          <w:rFonts w:hint="eastAsia" w:ascii="Times New Roman" w:hAnsi="Times New Roman" w:eastAsia="黑体"/>
          <w:bCs/>
          <w:color w:val="000000" w:themeColor="text1"/>
          <w:kern w:val="0"/>
          <w:sz w:val="32"/>
          <w:szCs w:val="36"/>
          <w:highlight w:val="none"/>
          <w:lang w:val="en-US" w:eastAsia="zh-CN"/>
          <w14:textFill>
            <w14:solidFill>
              <w14:schemeClr w14:val="tx1"/>
            </w14:solidFill>
          </w14:textFill>
        </w:rPr>
        <w:t>五</w:t>
      </w:r>
      <w:r>
        <w:rPr>
          <w:rFonts w:ascii="Times New Roman" w:hAnsi="Times New Roman" w:eastAsia="黑体"/>
          <w:bCs/>
          <w:color w:val="000000" w:themeColor="text1"/>
          <w:kern w:val="0"/>
          <w:sz w:val="32"/>
          <w:szCs w:val="36"/>
          <w:highlight w:val="none"/>
          <w14:textFill>
            <w14:solidFill>
              <w14:schemeClr w14:val="tx1"/>
            </w14:solidFill>
          </w14:textFill>
        </w:rPr>
        <w:t xml:space="preserve">条 </w:t>
      </w:r>
      <w:r>
        <w:rPr>
          <w:rFonts w:ascii="Times New Roman" w:hAnsi="Times New Roman"/>
          <w:b/>
          <w:color w:val="000000" w:themeColor="text1"/>
          <w:highlight w:val="none"/>
          <w14:textFill>
            <w14:solidFill>
              <w14:schemeClr w14:val="tx1"/>
            </w14:solidFill>
          </w14:textFill>
        </w:rPr>
        <w:t xml:space="preserve"> </w:t>
      </w:r>
      <w:r>
        <w:rPr>
          <w:rFonts w:ascii="Times New Roman" w:hAnsi="Times New Roman"/>
          <w:color w:val="000000" w:themeColor="text1"/>
          <w:sz w:val="32"/>
          <w:highlight w:val="none"/>
          <w14:textFill>
            <w14:solidFill>
              <w14:schemeClr w14:val="tx1"/>
            </w14:solidFill>
          </w14:textFill>
        </w:rPr>
        <w:t>甲乙双方应严格遵守国家、省信息系统安全管理相关规定，建立信息安全体系，协调做好医保信息系统安全工作，保障网络畅通、系统稳定运行，确保数据传输高效、参保人员结算方便快捷，保证参保人员基本信息和结算信息的完整性、准确性和安全性。甲乙双方不得泄露</w:t>
      </w:r>
      <w:r>
        <w:rPr>
          <w:rFonts w:hint="eastAsia" w:ascii="Times New Roman" w:hAnsi="Times New Roman"/>
          <w:color w:val="000000" w:themeColor="text1"/>
          <w:sz w:val="32"/>
          <w:highlight w:val="none"/>
          <w:lang w:eastAsia="zh-CN"/>
          <w14:textFill>
            <w14:solidFill>
              <w14:schemeClr w14:val="tx1"/>
            </w14:solidFill>
          </w14:textFill>
        </w:rPr>
        <w:t>医保</w:t>
      </w:r>
      <w:r>
        <w:rPr>
          <w:rFonts w:ascii="Times New Roman" w:hAnsi="Times New Roman"/>
          <w:color w:val="000000" w:themeColor="text1"/>
          <w:sz w:val="32"/>
          <w:highlight w:val="none"/>
          <w14:textFill>
            <w14:solidFill>
              <w14:schemeClr w14:val="tx1"/>
            </w14:solidFill>
          </w14:textFill>
        </w:rPr>
        <w:t>信息。</w:t>
      </w:r>
    </w:p>
    <w:p w14:paraId="41F573F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lang w:val="en-US" w:eastAsia="zh-CN"/>
          <w14:textFill>
            <w14:solidFill>
              <w14:schemeClr w14:val="tx1"/>
            </w14:solidFill>
          </w14:textFill>
        </w:rPr>
        <w:t>三十六</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乙方应按照国家统一要求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做好国家医保信息业务编码标准数据库的应用和动态更新维护工作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因乙方信息维护不及时、对应不正确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导致相关费用未能纳入医保基金支付的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由乙方自行承担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1820F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yellow"/>
          <w:lang w:eastAsia="zh-CN"/>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lang w:val="en-US" w:eastAsia="zh-CN"/>
          <w14:textFill>
            <w14:solidFill>
              <w14:schemeClr w14:val="tx1"/>
            </w14:solidFill>
          </w14:textFill>
        </w:rPr>
        <w:t>三十七</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乙方应及时在国家医保信息业务编码标准数据库按规定时限填报并维护乙方的基本信息、乙方执业药师或者依法经过资格认定的其他药学技术人员等信息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确保信息的准确性和完整性</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643AD9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lang w:val="en-US" w:eastAsia="zh-CN"/>
          <w14:textFill>
            <w14:solidFill>
              <w14:schemeClr w14:val="tx1"/>
            </w14:solidFill>
          </w14:textFill>
        </w:rPr>
        <w:t>三十八</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乙方应配合医疗保障部门依托全国统一的医保信息平台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推进医保电子处方中心落地应用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按甲方要求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及时应用</w:t>
      </w:r>
      <w:r>
        <w:rPr>
          <w:rFonts w:ascii="Times New Roman" w:hAnsi="Times New Roman" w:eastAsia="仿宋_GB2312"/>
          <w:color w:val="000000" w:themeColor="text1"/>
          <w:spacing w:val="0"/>
          <w:sz w:val="32"/>
          <w:szCs w:val="32"/>
          <w14:textFill>
            <w14:solidFill>
              <w14:schemeClr w14:val="tx1"/>
            </w14:solidFill>
          </w14:textFill>
        </w:rPr>
        <w:t>进销存系统、追溯码系统</w:t>
      </w:r>
      <w:r>
        <w:rPr>
          <w:rFonts w:hint="eastAsia" w:ascii="Times New Roman" w:hAnsi="Times New Roman" w:eastAsia="仿宋_GB2312"/>
          <w:color w:val="000000" w:themeColor="text1"/>
          <w:spacing w:val="0"/>
          <w:sz w:val="32"/>
          <w:szCs w:val="32"/>
          <w:lang w:eastAsia="zh-CN"/>
          <w14:textFill>
            <w14:solidFill>
              <w14:schemeClr w14:val="tx1"/>
            </w14:solidFill>
          </w14:textFill>
        </w:rPr>
        <w:t>和智能审核系统等。</w:t>
      </w:r>
    </w:p>
    <w:p w14:paraId="7C8B8B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三十九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乙方应按照甲方要求配置必备的医保身份识别设备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支持参保人员使用医保电子凭证（医保码）、社保卡等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乙方应加强对医保身份识别设备管理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不得转借或赠予他人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因乙方管理使用不当造成的损失由乙方自行承担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89C73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甲方对使用视频监控、人脸识别、实名制监管等系统有要求的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乙方应予以配合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视频监控内容保存时限须达到规定的时限要求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视频监控系统无法正常使用的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乙方应在甲方规定时限内向甲方备案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93B5B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乙方新增医保身份识别设备的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解除或终止医保协议后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乙方应妥善处置医保身份识别设备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52925E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第四十条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甲方应为乙方对接国家医疗保障信息平台智能监管子系统提供支持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对药械服务行为实时提醒</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帮助乙方减少违法违规行为的发生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0CA59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乙方应按规定及时向医保信息平台传送参保人员医保审核结算、医保基金监管所需信息、数据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对其真实性负责</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特殊情况不能及时传输的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应在故障排除后24小时内上传</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57ADE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乙方应确保</w:t>
      </w:r>
      <w:r>
        <w:rPr>
          <w:rFonts w:hint="eastAsia" w:ascii="Times New Roman" w:hAnsi="Times New Roman" w:eastAsia="仿宋_GB2312"/>
          <w:color w:val="000000" w:themeColor="text1"/>
          <w:spacing w:val="0"/>
          <w:sz w:val="32"/>
          <w:szCs w:val="32"/>
          <w:lang w:eastAsia="zh-CN"/>
          <w14:textFill>
            <w14:solidFill>
              <w14:schemeClr w14:val="tx1"/>
            </w14:solidFill>
          </w14:textFill>
        </w:rPr>
        <w:t>使用</w:t>
      </w:r>
      <w:r>
        <w:rPr>
          <w:rFonts w:ascii="Times New Roman" w:hAnsi="Times New Roman" w:eastAsia="仿宋_GB2312"/>
          <w:color w:val="000000" w:themeColor="text1"/>
          <w:spacing w:val="0"/>
          <w:sz w:val="32"/>
          <w:szCs w:val="32"/>
          <w14:textFill>
            <w14:solidFill>
              <w14:schemeClr w14:val="tx1"/>
            </w14:solidFill>
          </w14:textFill>
        </w:rPr>
        <w:t>医保信息平台的网络、设备与互联网物理隔离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与其他外部网络联网时采用有效的安全及隔离措施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医保信息数据同步存储备份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并定期进行安全检查和漏洞修复</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48C56A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乙方因系统更换、升级、硬件损坏等原因重新安装本地系统时，应向甲方备案，经甲方重新验收后方可与医保信息平台对接。</w:t>
      </w:r>
    </w:p>
    <w:p w14:paraId="18CCFF0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乙方不得在注册地址外的地点</w:t>
      </w:r>
      <w:r>
        <w:rPr>
          <w:rFonts w:hint="eastAsia" w:ascii="Times New Roman" w:hAnsi="Times New Roman" w:eastAsia="仿宋_GB2312"/>
          <w:color w:val="000000" w:themeColor="text1"/>
          <w:spacing w:val="0"/>
          <w:sz w:val="32"/>
          <w:szCs w:val="32"/>
          <w:lang w:eastAsia="zh-CN"/>
          <w14:textFill>
            <w14:solidFill>
              <w14:schemeClr w14:val="tx1"/>
            </w14:solidFill>
          </w14:textFill>
        </w:rPr>
        <w:t>使用</w:t>
      </w:r>
      <w:r>
        <w:rPr>
          <w:rFonts w:ascii="Times New Roman" w:hAnsi="Times New Roman" w:eastAsia="仿宋_GB2312"/>
          <w:color w:val="000000" w:themeColor="text1"/>
          <w:spacing w:val="0"/>
          <w:sz w:val="32"/>
          <w:szCs w:val="32"/>
          <w14:textFill>
            <w14:solidFill>
              <w14:schemeClr w14:val="tx1"/>
            </w14:solidFill>
          </w14:textFill>
        </w:rPr>
        <w:t>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D8B0F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sz w:val="32"/>
          <w:szCs w:val="32"/>
          <w:lang w:eastAsia="zh-CN"/>
        </w:rPr>
      </w:pPr>
      <w:r>
        <w:rPr>
          <w:rFonts w:ascii="Times New Roman" w:hAnsi="Times New Roman" w:eastAsia="黑体"/>
          <w:sz w:val="32"/>
        </w:rPr>
        <w:t>第四十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甲乙双方应当制定应急预案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一方信息系统出现故障并影响参保人员医保结算的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应及时通知对方启动应急预案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乙方应在接到通知后立即采取必要措施，确保医保结算不受影响</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6D29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第六章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医保绩效考核</w:t>
      </w:r>
    </w:p>
    <w:p w14:paraId="73E3739F">
      <w:pPr>
        <w:pStyle w:val="2"/>
        <w:keepNext w:val="0"/>
        <w:keepLines w:val="0"/>
        <w:pageBreakBefore w:val="0"/>
        <w:numPr>
          <w:ilvl w:val="0"/>
          <w:numId w:val="0"/>
        </w:numPr>
        <w:kinsoku/>
        <w:wordWrap/>
        <w:overflowPunct/>
        <w:topLinePunct w:val="0"/>
        <w:autoSpaceDE w:val="0"/>
        <w:autoSpaceDN w:val="0"/>
        <w:bidi w:val="0"/>
        <w:adjustRightInd w:val="0"/>
        <w:snapToGrid w:val="0"/>
        <w:spacing w:line="560" w:lineRule="exact"/>
        <w:textAlignment w:val="baseline"/>
        <w:rPr>
          <w:rFonts w:hint="eastAsia"/>
          <w:lang w:val="en-US" w:eastAsia="en-US"/>
        </w:rPr>
      </w:pPr>
    </w:p>
    <w:p w14:paraId="7596ABA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甲方或其委托的符合规定的第三方机构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依法依规以定期、不定期形式对乙方履行医保协议情况进行核查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核查范围和对象可延伸至乙方的内部部门及相关人员。</w:t>
      </w:r>
      <w:r>
        <w:rPr>
          <w:rFonts w:ascii="Times New Roman" w:hAnsi="Times New Roman" w:eastAsia="仿宋_GB2312"/>
          <w:color w:val="000000" w:themeColor="text1"/>
          <w:spacing w:val="0"/>
          <w:sz w:val="32"/>
          <w:szCs w:val="32"/>
          <w14:textFill>
            <w14:solidFill>
              <w14:schemeClr w14:val="tx1"/>
            </w14:solidFill>
          </w14:textFill>
        </w:rPr>
        <w:t>核查工作不得妨碍乙方正常经营秩序</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甲方不得将核查中获取、获悉的乙方相关资料或信息用于其他用途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3B2CF7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yellow"/>
          <w:lang w:eastAsia="zh-CN"/>
        </w:rPr>
      </w:pPr>
      <w:r>
        <w:rPr>
          <w:rFonts w:ascii="Times New Roman" w:hAnsi="Times New Roman" w:eastAsia="仿宋_GB2312"/>
          <w:spacing w:val="0"/>
          <w:sz w:val="32"/>
          <w:szCs w:val="32"/>
          <w:highlight w:val="none"/>
        </w:rPr>
        <w:t>乙方应当积极配合核查</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按要求提供相关资料（含电子数据）</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确保提供的资料真实、准确、完整</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不得拒绝、阻碍核查或者谎报、瞒报</w:t>
      </w: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spacing w:val="0"/>
          <w:sz w:val="32"/>
          <w:szCs w:val="32"/>
          <w:highlight w:val="none"/>
          <w:lang w:val="en-US" w:eastAsia="zh-CN"/>
        </w:rPr>
        <w:t>且乙方应在接到核查通知后5个工作日内提供全部所需资料</w:t>
      </w: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color w:val="000000" w:themeColor="text1"/>
          <w:sz w:val="32"/>
          <w:szCs w:val="32"/>
          <w:highlight w:val="none"/>
          <w14:textFill>
            <w14:solidFill>
              <w14:schemeClr w14:val="tx1"/>
            </w14:solidFill>
          </w14:textFill>
        </w:rPr>
        <w:t>核查完毕后，将核查结果以书面形式反馈乙方。</w:t>
      </w:r>
      <w:r>
        <w:rPr>
          <w:rFonts w:ascii="Times New Roman" w:hAnsi="Times New Roman" w:eastAsia="仿宋_GB2312"/>
          <w:spacing w:val="0"/>
          <w:sz w:val="32"/>
          <w:szCs w:val="32"/>
          <w:highlight w:val="none"/>
        </w:rPr>
        <w:t>乙方在保留申诉权利的前提下</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须对核查结果当场签字确认并加盖公章</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拒绝签字或盖章的</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核查人员应在核查结果上注明</w:t>
      </w:r>
      <w:r>
        <w:rPr>
          <w:rFonts w:hint="eastAsia" w:ascii="Times New Roman" w:hAnsi="Times New Roman" w:eastAsia="仿宋_GB2312"/>
          <w:spacing w:val="0"/>
          <w:sz w:val="32"/>
          <w:szCs w:val="32"/>
          <w:highlight w:val="none"/>
          <w:lang w:eastAsia="zh-CN"/>
        </w:rPr>
        <w:t>。</w:t>
      </w:r>
    </w:p>
    <w:p w14:paraId="568B4E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甲方或其委托的符合规定的第三方机构按照医保绩效考核办法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对乙方开展医保绩效考核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并以适当形式反馈考核结果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医保绩效考核结果与年终清算、质量保证金退还、医保协议续签等挂钩</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AD5FA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highlight w:val="none"/>
          <w:lang w:val="en-US" w:eastAsia="zh-CN"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甲方对乙方提供的异地就医直接结算服务与本地就医服务一并纳入监督考核，违约行为按本协议相关条款处理。其他</w:t>
      </w:r>
      <w:r>
        <w:rPr>
          <w:rFonts w:hint="eastAsia"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医疗保障</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部门委托甲方对乙方实行监督检查的，乙方应予以配合</w:t>
      </w:r>
      <w:r>
        <w:rPr>
          <w:rFonts w:hint="eastAsia" w:ascii="Times New Roman" w:hAnsi="Times New Roman" w:eastAsia="仿宋_GB2312" w:cs="微软雅黑"/>
          <w:snapToGrid w:val="0"/>
          <w:color w:val="000000" w:themeColor="text1"/>
          <w:spacing w:val="0"/>
          <w:kern w:val="0"/>
          <w:sz w:val="32"/>
          <w:szCs w:val="32"/>
          <w:highlight w:val="none"/>
          <w:lang w:val="en-US" w:eastAsia="zh-CN" w:bidi="ar-SA"/>
          <w14:textFill>
            <w14:solidFill>
              <w14:schemeClr w14:val="tx1"/>
            </w14:solidFill>
          </w14:textFill>
        </w:rPr>
        <w:t>。</w:t>
      </w:r>
    </w:p>
    <w:p w14:paraId="1F2A83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highlight w:val="none"/>
          <w:lang w:val="en-US" w:eastAsia="zh-CN" w:bidi="ar-SA"/>
          <w14:textFill>
            <w14:solidFill>
              <w14:schemeClr w14:val="tx1"/>
            </w14:solidFill>
          </w14:textFill>
        </w:rPr>
      </w:pP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乙方年度</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绩效</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考核不合格的，甲方</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应当</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中止乙方</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医保</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服务协议，并限期整改</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。中止期结束，</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仍整改不到位的，甲方</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可</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终止乙方</w:t>
      </w:r>
      <w:r>
        <w:rPr>
          <w:rFonts w:hint="eastAsia"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医保</w:t>
      </w:r>
      <w:r>
        <w:rPr>
          <w:rFonts w:ascii="Times New Roman" w:hAnsi="Times New Roman" w:eastAsia="仿宋_GB2312" w:cs="Arial"/>
          <w:snapToGrid w:val="0"/>
          <w:color w:val="000000" w:themeColor="text1"/>
          <w:kern w:val="0"/>
          <w:sz w:val="32"/>
          <w:szCs w:val="32"/>
          <w:highlight w:val="none"/>
          <w:lang w:val="en-US" w:eastAsia="en-US" w:bidi="ar-SA"/>
          <w14:textFill>
            <w14:solidFill>
              <w14:schemeClr w14:val="tx1"/>
            </w14:solidFill>
          </w14:textFill>
        </w:rPr>
        <w:t>服务协议。</w:t>
      </w:r>
    </w:p>
    <w:p w14:paraId="685F32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四十六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甲方可视情况通过公开途径将医保绩效考核、医保支付资格管理记分、医保基金监督检查和行政处罚结果向社会予以公示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有权要求乙方将相关结果在乙方服务场所予以公告</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34505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四十七</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甲方可对乙方信息管理相关情况进行核查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可采取在线监控、大数据分析等方式对乙方提供的药械服务全过程进行核查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D5AEE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甲方对参保人员年底统筹基金支付金额达到本人年度支付限额一定比例等突击购药、冲顶年度支付限额行为开展相关核查的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乙方应</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无条件</w:t>
      </w:r>
      <w:r>
        <w:rPr>
          <w:rFonts w:ascii="Times New Roman" w:hAnsi="Times New Roman" w:eastAsia="仿宋_GB2312"/>
          <w:color w:val="000000" w:themeColor="text1"/>
          <w:spacing w:val="0"/>
          <w:sz w:val="32"/>
          <w:szCs w:val="32"/>
          <w:highlight w:val="none"/>
          <w14:textFill>
            <w14:solidFill>
              <w14:schemeClr w14:val="tx1"/>
            </w14:solidFill>
          </w14:textFill>
        </w:rPr>
        <w:t>予以配合</w:t>
      </w:r>
      <w:r>
        <w:rPr>
          <w:rFonts w:hint="eastAsia" w:ascii="Times New Roman" w:hAnsi="Times New Roman" w:eastAsia="仿宋_GB2312"/>
          <w:color w:val="000000" w:themeColor="text1"/>
          <w:spacing w:val="0"/>
          <w:sz w:val="32"/>
          <w:szCs w:val="32"/>
          <w:highlight w:val="none"/>
          <w:lang w:val="en-US" w:eastAsia="zh-CN"/>
          <w14:textFill>
            <w14:solidFill>
              <w14:schemeClr w14:val="tx1"/>
            </w14:solidFill>
          </w14:textFill>
        </w:rPr>
        <w:t>并提供必要的协助</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1F5CE28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FF0000"/>
          <w:spacing w:val="0"/>
          <w:sz w:val="32"/>
          <w:szCs w:val="32"/>
          <w:highlight w:val="yellow"/>
          <w:lang w:eastAsia="zh-CN"/>
        </w:rPr>
      </w:pP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乙方提供异地就医直接结算服务的，应严格执行异地就医直接结算相关规定，除特殊情况（</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因结算网络系统、就诊凭证等故障导致无法直接结算</w:t>
      </w: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）外全部进行直接结算。</w:t>
      </w:r>
    </w:p>
    <w:p w14:paraId="5A9AF4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w:t>
      </w:r>
      <w:r>
        <w:rPr>
          <w:rFonts w:hint="eastAsia" w:ascii="Times New Roman" w:hAnsi="Times New Roman" w:eastAsia="黑体"/>
          <w:sz w:val="32"/>
          <w:lang w:val="en-US" w:eastAsia="zh-CN"/>
        </w:rPr>
        <w:t>四十八</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仿宋_GB2312" w:cs="Times New Roman"/>
          <w:bCs/>
          <w:snapToGrid/>
          <w:color w:val="auto"/>
          <w:kern w:val="0"/>
          <w:sz w:val="32"/>
          <w:szCs w:val="32"/>
          <w:highlight w:val="none"/>
          <w:lang w:val="en-US" w:eastAsia="zh-CN" w:bidi="ar-SA"/>
        </w:rPr>
        <w:t>乙方因违反本协议约定产生的</w:t>
      </w:r>
      <w:r>
        <w:rPr>
          <w:rFonts w:hint="eastAsia" w:ascii="仿宋_GB2312" w:hAnsi="仿宋_GB2312" w:eastAsia="仿宋_GB2312" w:cs="仿宋_GB2312"/>
          <w:color w:val="auto"/>
          <w:sz w:val="32"/>
          <w:highlight w:val="none"/>
          <w:lang w:eastAsia="zh-CN"/>
        </w:rPr>
        <w:t>应当清退的违规费用、支付的违约金等，应在接到甲方通知后15日内缴清，该约定不受乙方主张权利的影响。逾期未缴清的，甲方可以从乙方申请拨付的药械费用或医保服务质量保证金中予以抵扣，不足抵扣的，由乙方补足，</w:t>
      </w:r>
      <w:r>
        <w:rPr>
          <w:rFonts w:hint="eastAsia" w:ascii="仿宋_GB2312" w:hAnsi="仿宋_GB2312" w:eastAsia="仿宋_GB2312" w:cs="仿宋_GB2312"/>
          <w:color w:val="auto"/>
          <w:sz w:val="32"/>
          <w:highlight w:val="none"/>
          <w:lang w:val="en-US" w:eastAsia="zh-CN"/>
        </w:rPr>
        <w:t>并有权暂停拨付乙方医保费用（含已结算但尚未支付的费用）、中止本协议，直至检查处理结束</w:t>
      </w:r>
      <w:r>
        <w:rPr>
          <w:rFonts w:hint="eastAsia" w:ascii="仿宋_GB2312" w:hAnsi="仿宋_GB2312" w:eastAsia="仿宋_GB2312" w:cs="仿宋_GB2312"/>
          <w:color w:val="auto"/>
          <w:sz w:val="32"/>
          <w:highlight w:val="none"/>
          <w:lang w:eastAsia="zh-CN"/>
        </w:rPr>
        <w:t>。</w:t>
      </w:r>
    </w:p>
    <w:p w14:paraId="491DC0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w:t>
      </w:r>
      <w:r>
        <w:rPr>
          <w:rFonts w:hint="eastAsia" w:ascii="Times New Roman" w:hAnsi="Times New Roman" w:eastAsia="黑体"/>
          <w:sz w:val="32"/>
          <w:lang w:val="en-US" w:eastAsia="zh-CN"/>
        </w:rPr>
        <w:t>四十九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甲方按规定对乙方及乙方相关人员履行协议过程中产生的信用信息进行归集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并将信用评价结果与费用核查、医保协议管理以及涉及医保基金使用的医药服务相关联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66DCA9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乙方及其工作人员存在骗取医保基金等违法违规行为的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甲方可提请医疗保障行政部门将乙方及相关人员按相关规定纳入医保领域失信名单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开展信用管理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并进行公开和惩戒处理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87A522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highlight w:val="none"/>
          <w:lang w:eastAsia="zh-CN"/>
        </w:rPr>
      </w:pPr>
      <w:r>
        <w:rPr>
          <w:rFonts w:ascii="Times New Roman" w:hAnsi="Times New Roman" w:eastAsia="仿宋_GB2312"/>
          <w:color w:val="000000" w:themeColor="text1"/>
          <w:sz w:val="32"/>
          <w:szCs w:val="32"/>
          <w:highlight w:val="none"/>
          <w14:textFill>
            <w14:solidFill>
              <w14:schemeClr w14:val="tx1"/>
            </w14:solidFill>
          </w14:textFill>
        </w:rPr>
        <w:t>甲方发现乙方涉嫌违反本协议约定，可能对医保基金安全、参保人员权益造成重大风险的，有权要求乙方配合检查。检查期间，甲方有权暂停拨付乙方医保费用（含已结算但尚未支付的费用）、中止本协议，直至检查处理结束，查证属实的，甲方依据本协议约定进行处理</w:t>
      </w:r>
      <w:r>
        <w:rPr>
          <w:rFonts w:hint="eastAsia" w:ascii="Times New Roman" w:hAnsi="Times New Roman" w:eastAsia="仿宋_GB2312"/>
          <w:color w:val="000000" w:themeColor="text1"/>
          <w:sz w:val="32"/>
          <w:szCs w:val="32"/>
          <w:highlight w:val="none"/>
          <w14:textFill>
            <w14:solidFill>
              <w14:schemeClr w14:val="tx1"/>
            </w14:solidFill>
          </w14:textFill>
        </w:rPr>
        <w:t>并</w:t>
      </w:r>
      <w:r>
        <w:rPr>
          <w:rFonts w:ascii="Times New Roman" w:hAnsi="Times New Roman" w:eastAsia="仿宋_GB2312"/>
          <w:color w:val="000000" w:themeColor="text1"/>
          <w:sz w:val="32"/>
          <w:szCs w:val="32"/>
          <w:highlight w:val="none"/>
          <w14:textFill>
            <w14:solidFill>
              <w14:schemeClr w14:val="tx1"/>
            </w14:solidFill>
          </w14:textFill>
        </w:rPr>
        <w:t>向同级医疗保障行政部门备案。</w:t>
      </w:r>
    </w:p>
    <w:p w14:paraId="7FF53D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pPr>
    </w:p>
    <w:p w14:paraId="5A0E9D1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第七章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违约责任</w:t>
      </w:r>
    </w:p>
    <w:p w14:paraId="4B07F05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p>
    <w:p w14:paraId="7BB3037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第五十条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甲方有下列情形</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乙方可要求甲方纠正或提请医疗保障行政部门协调处理、督促整改</w:t>
      </w:r>
      <w:r>
        <w:rPr>
          <w:rFonts w:hint="eastAsia" w:ascii="Times New Roman" w:hAnsi="Times New Roman" w:eastAsia="仿宋_GB2312"/>
          <w:spacing w:val="0"/>
          <w:sz w:val="32"/>
          <w:szCs w:val="32"/>
          <w:lang w:eastAsia="zh-CN"/>
        </w:rPr>
        <w:t>：</w:t>
      </w:r>
    </w:p>
    <w:p w14:paraId="7CF576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（一）未按医保协议约定及时足额向乙方拨付符合规定的医保费用的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86F55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（二）未向乙方提供医保信息平台数据集和接口标准的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向乙方指定与医保对接的有关信息系统的运行和维护供应商的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或向乙方收取任何费用的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766E8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（三）未对乙方提供必要的医保政策、管理制度、支付政策、操作流程的宣传培训</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以及医疗保障咨询、查询服务的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0EBA1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（四）未对乙方的意见建议及时接收、解答、解释说明的</w:t>
      </w:r>
      <w:r>
        <w:rPr>
          <w:rFonts w:hint="eastAsia" w:ascii="Times New Roman" w:hAnsi="Times New Roman" w:eastAsia="仿宋_GB2312"/>
          <w:spacing w:val="0"/>
          <w:sz w:val="32"/>
          <w:szCs w:val="32"/>
          <w:lang w:eastAsia="zh-CN"/>
        </w:rPr>
        <w:t>；</w:t>
      </w:r>
    </w:p>
    <w:p w14:paraId="1DC716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（五）未对作出的违约处理结果向乙方进行解释说明的</w:t>
      </w:r>
      <w:r>
        <w:rPr>
          <w:rFonts w:hint="eastAsia" w:ascii="Times New Roman" w:hAnsi="Times New Roman" w:eastAsia="仿宋_GB2312"/>
          <w:spacing w:val="0"/>
          <w:sz w:val="32"/>
          <w:szCs w:val="32"/>
          <w:lang w:eastAsia="zh-CN"/>
        </w:rPr>
        <w:t>；</w:t>
      </w:r>
    </w:p>
    <w:p w14:paraId="7840C9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（六）未遵守个人信息保护和数据安全有关制度</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未保护乙方商业秘密及涉及乙方药械经营相关的数据信息</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导致</w:t>
      </w:r>
      <w:r>
        <w:rPr>
          <w:rFonts w:ascii="Times New Roman" w:hAnsi="Times New Roman" w:eastAsia="仿宋_GB2312"/>
          <w:spacing w:val="0"/>
          <w:sz w:val="32"/>
          <w:szCs w:val="32"/>
          <w:highlight w:val="none"/>
        </w:rPr>
        <w:t>信息泄露</w:t>
      </w:r>
      <w:r>
        <w:rPr>
          <w:rFonts w:ascii="Times New Roman" w:hAnsi="Times New Roman" w:eastAsia="仿宋_GB2312"/>
          <w:spacing w:val="0"/>
          <w:sz w:val="32"/>
          <w:szCs w:val="32"/>
        </w:rPr>
        <w:t>的</w:t>
      </w:r>
      <w:r>
        <w:rPr>
          <w:rFonts w:hint="eastAsia" w:ascii="Times New Roman" w:hAnsi="Times New Roman" w:eastAsia="仿宋_GB2312"/>
          <w:spacing w:val="0"/>
          <w:sz w:val="32"/>
          <w:szCs w:val="32"/>
          <w:lang w:eastAsia="zh-CN"/>
        </w:rPr>
        <w:t>；</w:t>
      </w:r>
    </w:p>
    <w:p w14:paraId="4BABDA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（七）工作人员违反工作纪律规定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对乙方造成影响的</w:t>
      </w:r>
      <w:r>
        <w:rPr>
          <w:rFonts w:hint="eastAsia" w:ascii="Times New Roman" w:hAnsi="Times New Roman" w:eastAsia="仿宋_GB2312"/>
          <w:spacing w:val="0"/>
          <w:sz w:val="32"/>
          <w:szCs w:val="32"/>
          <w:lang w:eastAsia="zh-CN"/>
        </w:rPr>
        <w:t>；</w:t>
      </w:r>
    </w:p>
    <w:p w14:paraId="2D3B42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仿宋_GB2312"/>
          <w:spacing w:val="0"/>
          <w:sz w:val="32"/>
          <w:szCs w:val="32"/>
        </w:rPr>
        <w:t>（八）其他违反法律法规和规章及医保协议约定的情形</w:t>
      </w:r>
      <w:r>
        <w:rPr>
          <w:rFonts w:hint="eastAsia" w:ascii="Times New Roman" w:hAnsi="Times New Roman" w:eastAsia="仿宋_GB2312"/>
          <w:spacing w:val="0"/>
          <w:sz w:val="32"/>
          <w:szCs w:val="32"/>
          <w:lang w:eastAsia="zh-CN"/>
        </w:rPr>
        <w:t>。</w:t>
      </w:r>
    </w:p>
    <w:p w14:paraId="2FCFF6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黑体"/>
          <w:sz w:val="32"/>
        </w:rPr>
        <w:t>第五十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color w:val="00B050"/>
          <w:sz w:val="32"/>
          <w:lang w:val="en-US" w:eastAsia="zh-CN"/>
        </w:rPr>
        <w:t xml:space="preserve">  </w:t>
      </w:r>
      <w:r>
        <w:rPr>
          <w:rFonts w:hint="eastAsia" w:ascii="Times New Roman" w:hAnsi="Times New Roman" w:eastAsia="仿宋_GB2312"/>
          <w:spacing w:val="0"/>
          <w:sz w:val="32"/>
          <w:szCs w:val="32"/>
          <w:lang w:eastAsia="zh-CN"/>
        </w:rPr>
        <w:t>经查实，乙方有下列情形之一的，甲方约谈乙方法定代表人、主要负责人或实际控制人，督促其限期整改：</w:t>
      </w:r>
    </w:p>
    <w:p w14:paraId="742504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（一）乙方或乙方相关人员发表关于医保管理政策相关的不当言论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造成恶劣影响的</w:t>
      </w:r>
      <w:r>
        <w:rPr>
          <w:rFonts w:hint="eastAsia" w:ascii="Times New Roman" w:hAnsi="Times New Roman" w:eastAsia="仿宋_GB2312"/>
          <w:spacing w:val="0"/>
          <w:sz w:val="32"/>
          <w:szCs w:val="32"/>
          <w:lang w:eastAsia="zh-CN"/>
        </w:rPr>
        <w:t>；</w:t>
      </w:r>
    </w:p>
    <w:p w14:paraId="4E7D185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（二）将应当由医保基金支付的费用转嫁参保人员自费结算的</w:t>
      </w:r>
      <w:r>
        <w:rPr>
          <w:rFonts w:hint="eastAsia" w:ascii="Times New Roman" w:hAnsi="Times New Roman" w:eastAsia="仿宋_GB2312"/>
          <w:spacing w:val="0"/>
          <w:sz w:val="32"/>
          <w:szCs w:val="32"/>
          <w:lang w:eastAsia="zh-CN"/>
        </w:rPr>
        <w:t>；</w:t>
      </w:r>
    </w:p>
    <w:p w14:paraId="1D48F0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（三）未按规定向参保人员如实出具费用单据和相关资料的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未向参保人员提供查询药械费用、打印药械费用清单、开具规范票据（参保人员未要求提供票据的除外）等服务的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未在票据上标明医保支付金额的</w:t>
      </w:r>
      <w:r>
        <w:rPr>
          <w:rFonts w:hint="eastAsia" w:ascii="Times New Roman" w:hAnsi="Times New Roman" w:eastAsia="仿宋_GB2312"/>
          <w:spacing w:val="0"/>
          <w:sz w:val="32"/>
          <w:szCs w:val="32"/>
          <w:lang w:eastAsia="zh-CN"/>
        </w:rPr>
        <w:t>；</w:t>
      </w:r>
    </w:p>
    <w:p w14:paraId="198DF3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none"/>
          <w:lang w:eastAsia="zh-CN"/>
        </w:rPr>
      </w:pPr>
      <w:r>
        <w:rPr>
          <w:rFonts w:ascii="Times New Roman" w:hAnsi="Times New Roman" w:eastAsia="仿宋_GB2312"/>
          <w:spacing w:val="0"/>
          <w:sz w:val="32"/>
          <w:szCs w:val="32"/>
          <w:highlight w:val="none"/>
        </w:rPr>
        <w:t>（四）</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乙方作为医保特殊药品定点零售药店，</w:t>
      </w:r>
      <w:r>
        <w:rPr>
          <w:rFonts w:ascii="Times New Roman" w:hAnsi="Times New Roman" w:eastAsia="仿宋_GB2312"/>
          <w:spacing w:val="0"/>
          <w:sz w:val="32"/>
          <w:szCs w:val="32"/>
          <w:highlight w:val="none"/>
        </w:rPr>
        <w:t>拒绝为</w:t>
      </w:r>
      <w:r>
        <w:rPr>
          <w:rFonts w:hint="eastAsia" w:ascii="Times New Roman" w:hAnsi="Times New Roman" w:eastAsia="仿宋_GB2312"/>
          <w:spacing w:val="0"/>
          <w:sz w:val="32"/>
          <w:szCs w:val="32"/>
          <w:highlight w:val="none"/>
          <w:lang w:eastAsia="zh-CN"/>
        </w:rPr>
        <w:t>其</w:t>
      </w:r>
      <w:r>
        <w:rPr>
          <w:rFonts w:ascii="Times New Roman" w:hAnsi="Times New Roman" w:eastAsia="仿宋_GB2312"/>
          <w:spacing w:val="0"/>
          <w:sz w:val="32"/>
          <w:szCs w:val="32"/>
          <w:highlight w:val="none"/>
        </w:rPr>
        <w:t>享受待遇的参保人员结算医保费用的</w:t>
      </w:r>
      <w:r>
        <w:rPr>
          <w:rFonts w:hint="eastAsia" w:ascii="Times New Roman" w:hAnsi="Times New Roman" w:eastAsia="仿宋_GB2312"/>
          <w:spacing w:val="0"/>
          <w:sz w:val="32"/>
          <w:szCs w:val="32"/>
          <w:highlight w:val="none"/>
          <w:lang w:eastAsia="zh-CN"/>
        </w:rPr>
        <w:t>；</w:t>
      </w:r>
    </w:p>
    <w:p w14:paraId="46CEDB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（五）无正当理由拒绝为符合条件的参保人员直接结算医保费用的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拒绝参保人员使用医保电子凭证（医保码）、社保卡等进行医保结算的</w:t>
      </w:r>
      <w:r>
        <w:rPr>
          <w:rFonts w:hint="eastAsia" w:ascii="Times New Roman" w:hAnsi="Times New Roman" w:eastAsia="仿宋_GB2312"/>
          <w:spacing w:val="0"/>
          <w:sz w:val="32"/>
          <w:szCs w:val="32"/>
          <w:lang w:eastAsia="zh-CN"/>
        </w:rPr>
        <w:t>；</w:t>
      </w:r>
    </w:p>
    <w:p w14:paraId="11C59F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（六）未公示药械价格的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未如实报送药械的采购价格和数量的</w:t>
      </w:r>
      <w:r>
        <w:rPr>
          <w:rFonts w:hint="eastAsia" w:ascii="Times New Roman" w:hAnsi="Times New Roman" w:eastAsia="仿宋_GB2312"/>
          <w:spacing w:val="0"/>
          <w:sz w:val="32"/>
          <w:szCs w:val="32"/>
          <w:lang w:eastAsia="zh-CN"/>
        </w:rPr>
        <w:t>；</w:t>
      </w:r>
    </w:p>
    <w:p w14:paraId="6FDFD6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七</w:t>
      </w:r>
      <w:r>
        <w:rPr>
          <w:rFonts w:ascii="Times New Roman" w:hAnsi="Times New Roman" w:eastAsia="仿宋_GB2312"/>
          <w:spacing w:val="0"/>
          <w:sz w:val="32"/>
          <w:szCs w:val="32"/>
        </w:rPr>
        <w:t>）未按要求采购一定数量国家组织集采或省级集采药品的（实际采购价低于集采中选价的情况除外）</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违反集</w:t>
      </w:r>
      <w:r>
        <w:rPr>
          <w:rFonts w:hint="eastAsia" w:ascii="Times New Roman" w:hAnsi="Times New Roman" w:eastAsia="仿宋_GB2312"/>
          <w:spacing w:val="0"/>
          <w:sz w:val="32"/>
          <w:szCs w:val="32"/>
          <w:lang w:eastAsia="zh-CN"/>
        </w:rPr>
        <w:t>中带量采</w:t>
      </w:r>
      <w:r>
        <w:rPr>
          <w:rFonts w:ascii="Times New Roman" w:hAnsi="Times New Roman" w:eastAsia="仿宋_GB2312"/>
          <w:spacing w:val="0"/>
          <w:sz w:val="32"/>
          <w:szCs w:val="32"/>
        </w:rPr>
        <w:t>购和使用相关规定的</w:t>
      </w:r>
      <w:r>
        <w:rPr>
          <w:rFonts w:hint="eastAsia" w:ascii="Times New Roman" w:hAnsi="Times New Roman" w:eastAsia="仿宋_GB2312"/>
          <w:spacing w:val="0"/>
          <w:sz w:val="32"/>
          <w:szCs w:val="32"/>
          <w:lang w:eastAsia="zh-CN"/>
        </w:rPr>
        <w:t>；</w:t>
      </w:r>
    </w:p>
    <w:p w14:paraId="51BF3E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八</w:t>
      </w:r>
      <w:r>
        <w:rPr>
          <w:rFonts w:ascii="Times New Roman" w:hAnsi="Times New Roman" w:eastAsia="仿宋_GB2312"/>
          <w:spacing w:val="0"/>
          <w:sz w:val="32"/>
          <w:szCs w:val="32"/>
        </w:rPr>
        <w:t>）未将药械与其他商品实行分区分类管理的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未对所售药械设立明确的医保标识的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经核实</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对医保患者实行不公平、歧视性价格或其他违反价格法、价格政策的</w:t>
      </w:r>
      <w:r>
        <w:rPr>
          <w:rFonts w:hint="eastAsia" w:ascii="Times New Roman" w:hAnsi="Times New Roman" w:eastAsia="仿宋_GB2312"/>
          <w:spacing w:val="0"/>
          <w:sz w:val="32"/>
          <w:szCs w:val="32"/>
          <w:lang w:eastAsia="zh-CN"/>
        </w:rPr>
        <w:t>；</w:t>
      </w:r>
    </w:p>
    <w:p w14:paraId="0FE5CF0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九</w:t>
      </w:r>
      <w:r>
        <w:rPr>
          <w:rFonts w:ascii="Times New Roman" w:hAnsi="Times New Roman" w:eastAsia="仿宋_GB2312"/>
          <w:spacing w:val="0"/>
          <w:sz w:val="32"/>
          <w:szCs w:val="32"/>
        </w:rPr>
        <w:t>）将甲方不予支付的费用、乙方按医保协议约定被扣除的质量保证金及其支付的违约金等</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作为医保欠费处理的</w:t>
      </w:r>
      <w:r>
        <w:rPr>
          <w:rFonts w:hint="eastAsia" w:ascii="Times New Roman" w:hAnsi="Times New Roman" w:eastAsia="仿宋_GB2312"/>
          <w:spacing w:val="0"/>
          <w:sz w:val="32"/>
          <w:szCs w:val="32"/>
          <w:lang w:eastAsia="zh-CN"/>
        </w:rPr>
        <w:t>；</w:t>
      </w:r>
    </w:p>
    <w:p w14:paraId="06C3FD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（十）未公布医保投诉举报渠道</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或未及时处理投诉举报或社会监督反映的问题的</w:t>
      </w:r>
      <w:r>
        <w:rPr>
          <w:rFonts w:hint="eastAsia" w:ascii="Times New Roman" w:hAnsi="Times New Roman" w:eastAsia="仿宋_GB2312"/>
          <w:spacing w:val="0"/>
          <w:sz w:val="32"/>
          <w:szCs w:val="32"/>
          <w:lang w:eastAsia="zh-CN"/>
        </w:rPr>
        <w:t>；</w:t>
      </w:r>
    </w:p>
    <w:p w14:paraId="096304A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一</w:t>
      </w:r>
      <w:r>
        <w:rPr>
          <w:rFonts w:ascii="Times New Roman" w:hAnsi="Times New Roman" w:eastAsia="仿宋_GB2312"/>
          <w:spacing w:val="0"/>
          <w:sz w:val="32"/>
          <w:szCs w:val="32"/>
        </w:rPr>
        <w:t>）以医保定点名义或者字样从事商业广告、促销活动的</w:t>
      </w:r>
      <w:r>
        <w:rPr>
          <w:rFonts w:hint="eastAsia" w:ascii="Times New Roman" w:hAnsi="Times New Roman" w:eastAsia="仿宋_GB2312"/>
          <w:spacing w:val="0"/>
          <w:sz w:val="32"/>
          <w:szCs w:val="32"/>
          <w:lang w:eastAsia="zh-CN"/>
        </w:rPr>
        <w:t>；</w:t>
      </w:r>
    </w:p>
    <w:p w14:paraId="76C7A6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二</w:t>
      </w:r>
      <w:r>
        <w:rPr>
          <w:rFonts w:ascii="Times New Roman" w:hAnsi="Times New Roman" w:eastAsia="仿宋_GB2312"/>
          <w:spacing w:val="0"/>
          <w:sz w:val="32"/>
          <w:szCs w:val="32"/>
        </w:rPr>
        <w:t>）其他未按医保协议约定落实管理措施</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但未造成基金损失的情形</w:t>
      </w:r>
      <w:r>
        <w:rPr>
          <w:rFonts w:hint="eastAsia" w:ascii="Times New Roman" w:hAnsi="Times New Roman" w:eastAsia="仿宋_GB2312"/>
          <w:spacing w:val="0"/>
          <w:sz w:val="32"/>
          <w:szCs w:val="32"/>
          <w:lang w:eastAsia="zh-CN"/>
        </w:rPr>
        <w:t>。</w:t>
      </w:r>
    </w:p>
    <w:p w14:paraId="235DED1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黑体"/>
          <w:sz w:val="32"/>
        </w:rPr>
        <w:t>第五十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仿宋_GB2312"/>
          <w:spacing w:val="0"/>
          <w:sz w:val="32"/>
          <w:szCs w:val="32"/>
          <w:lang w:eastAsia="zh-CN"/>
        </w:rPr>
        <w:t>经查实，乙方有下列情形</w:t>
      </w:r>
      <w:r>
        <w:rPr>
          <w:rFonts w:hint="eastAsia" w:ascii="Times New Roman" w:hAnsi="Times New Roman" w:eastAsia="仿宋_GB2312"/>
          <w:spacing w:val="0"/>
          <w:sz w:val="32"/>
          <w:szCs w:val="32"/>
          <w:lang w:val="en-US" w:eastAsia="zh-CN"/>
        </w:rPr>
        <w:t>之一</w:t>
      </w:r>
      <w:r>
        <w:rPr>
          <w:rFonts w:hint="eastAsia" w:ascii="Times New Roman" w:hAnsi="Times New Roman" w:eastAsia="仿宋_GB2312"/>
          <w:spacing w:val="0"/>
          <w:sz w:val="32"/>
          <w:szCs w:val="32"/>
          <w:lang w:eastAsia="zh-CN"/>
        </w:rPr>
        <w:t>的，或有第五十</w:t>
      </w:r>
      <w:r>
        <w:rPr>
          <w:rFonts w:hint="eastAsia" w:ascii="Times New Roman" w:hAnsi="Times New Roman" w:eastAsia="仿宋_GB2312"/>
          <w:spacing w:val="0"/>
          <w:sz w:val="32"/>
          <w:szCs w:val="32"/>
          <w:lang w:val="en-US" w:eastAsia="zh-CN"/>
        </w:rPr>
        <w:t>一</w:t>
      </w:r>
      <w:r>
        <w:rPr>
          <w:rFonts w:hint="eastAsia" w:ascii="Times New Roman" w:hAnsi="Times New Roman" w:eastAsia="仿宋_GB2312"/>
          <w:spacing w:val="0"/>
          <w:sz w:val="32"/>
          <w:szCs w:val="32"/>
          <w:lang w:eastAsia="zh-CN"/>
        </w:rPr>
        <w:t>条情形造成社会影响较大的，甲方暂停结算医保费用，督促其限期整改。</w:t>
      </w:r>
      <w:r>
        <w:rPr>
          <w:rFonts w:hint="eastAsia" w:ascii="Times New Roman" w:hAnsi="Times New Roman" w:eastAsia="仿宋_GB2312"/>
          <w:spacing w:val="0"/>
          <w:sz w:val="32"/>
          <w:szCs w:val="32"/>
          <w:lang w:val="en-US" w:eastAsia="zh-CN"/>
        </w:rPr>
        <w:t>乙方</w:t>
      </w:r>
      <w:r>
        <w:rPr>
          <w:rFonts w:hint="eastAsia" w:ascii="Times New Roman" w:hAnsi="Times New Roman" w:eastAsia="仿宋_GB2312"/>
          <w:spacing w:val="0"/>
          <w:sz w:val="32"/>
          <w:szCs w:val="32"/>
          <w:lang w:eastAsia="zh-CN"/>
        </w:rPr>
        <w:t>整改到位的，甲方恢复医保费用结算，暂停结算期间乙方发生的符合规定的医保费用甲方予以支付：</w:t>
      </w:r>
    </w:p>
    <w:p w14:paraId="530CBC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highlight w:val="none"/>
          <w:lang w:eastAsia="zh-CN"/>
        </w:rPr>
        <w:t>（一）未按照甲方要求使用医保信息系统的；未按规定使用国家统一的医保信息业务编码的；未做好国家医保信息业务编码标准数据库的应用和动态维护工作的；因医保信息业务编码维护不及时、对应不正确，影响参保人员正常结算或造成结算错误的，</w:t>
      </w:r>
      <w:r>
        <w:rPr>
          <w:rFonts w:hint="eastAsia" w:ascii="Times New Roman" w:hAnsi="Times New Roman" w:eastAsia="仿宋_GB2312"/>
          <w:spacing w:val="0"/>
          <w:sz w:val="32"/>
          <w:szCs w:val="32"/>
          <w:highlight w:val="none"/>
          <w:lang w:val="en-US" w:eastAsia="zh-CN"/>
        </w:rPr>
        <w:t>乙方应承担由此产生的全部责任</w:t>
      </w:r>
      <w:r>
        <w:rPr>
          <w:rFonts w:hint="eastAsia" w:ascii="Times New Roman" w:hAnsi="Times New Roman" w:eastAsia="仿宋_GB2312"/>
          <w:spacing w:val="0"/>
          <w:sz w:val="32"/>
          <w:szCs w:val="32"/>
          <w:highlight w:val="none"/>
          <w:lang w:eastAsia="zh-CN"/>
        </w:rPr>
        <w:t>；</w:t>
      </w:r>
    </w:p>
    <w:p w14:paraId="4C3A83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（二）对接医保信息平台的网络、设备未与互联网物理隔离，与其他外部网络联网时未采用有效的安全及隔离措施的；未遵守个人信息保护和数据安全有关制度，导致参保人员个人信息或</w:t>
      </w:r>
      <w:r>
        <w:rPr>
          <w:rFonts w:hint="eastAsia" w:ascii="Times New Roman" w:hAnsi="Times New Roman" w:eastAsia="仿宋_GB2312"/>
          <w:spacing w:val="0"/>
          <w:sz w:val="32"/>
          <w:szCs w:val="32"/>
          <w:highlight w:val="none"/>
          <w:lang w:eastAsia="zh-CN"/>
        </w:rPr>
        <w:t>医保数据泄露</w:t>
      </w:r>
      <w:r>
        <w:rPr>
          <w:rFonts w:hint="eastAsia" w:ascii="Times New Roman" w:hAnsi="Times New Roman" w:eastAsia="仿宋_GB2312"/>
          <w:spacing w:val="0"/>
          <w:sz w:val="32"/>
          <w:szCs w:val="32"/>
          <w:lang w:eastAsia="zh-CN"/>
        </w:rPr>
        <w:t>的；将医保身份识别设备转借或赠予他人的；</w:t>
      </w:r>
    </w:p>
    <w:p w14:paraId="5B2790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（三）未按规定及时向医保信息平台传送参保人员医保审核结算所需信息、数据的；</w:t>
      </w:r>
    </w:p>
    <w:p w14:paraId="532CC4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四</w:t>
      </w:r>
      <w:r>
        <w:rPr>
          <w:rFonts w:hint="eastAsia" w:ascii="Times New Roman" w:hAnsi="Times New Roman" w:eastAsia="仿宋_GB2312"/>
          <w:spacing w:val="0"/>
          <w:sz w:val="32"/>
          <w:szCs w:val="32"/>
          <w:lang w:eastAsia="zh-CN"/>
        </w:rPr>
        <w:t>）经核实，对医保患者实行不公平、歧视性价格或其他违反价格法、价格政策，经约谈，拒绝整改或整改明显不到位的；</w:t>
      </w:r>
    </w:p>
    <w:p w14:paraId="28ADDF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五</w:t>
      </w:r>
      <w:r>
        <w:rPr>
          <w:rFonts w:hint="eastAsia" w:ascii="Times New Roman" w:hAnsi="Times New Roman" w:eastAsia="仿宋_GB2312"/>
          <w:spacing w:val="0"/>
          <w:sz w:val="32"/>
          <w:szCs w:val="32"/>
          <w:lang w:eastAsia="zh-CN"/>
        </w:rPr>
        <w:t>）药械进销存管理不规范或未定期盘点，进销存登记制度、电子台账、管理系统、盘点记录不完善，未留存进销存相关凭证、票据、出入库记录等，未按甲方要求及时、完整、准确上传进销存台账记录等，发生以上情形且未造成相关违法违规违约事实无法查清的；</w:t>
      </w:r>
    </w:p>
    <w:p w14:paraId="4E994C8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val="en-US" w:eastAsia="zh-CN"/>
        </w:rPr>
        <w:t>（六）甲方对乙方开展调查或检查期间，乙方未提供进销存相关凭证和票据的；</w:t>
      </w:r>
    </w:p>
    <w:p w14:paraId="79F0A4E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七</w:t>
      </w:r>
      <w:r>
        <w:rPr>
          <w:rFonts w:hint="eastAsia" w:ascii="Times New Roman" w:hAnsi="Times New Roman" w:eastAsia="仿宋_GB2312"/>
          <w:spacing w:val="0"/>
          <w:sz w:val="32"/>
          <w:szCs w:val="32"/>
          <w:lang w:eastAsia="zh-CN"/>
        </w:rPr>
        <w:t>）未规范财务管理，未规范票据的领购、使用、保管及核销等，且未造成相关违法违规违约事实无法查清的；</w:t>
      </w:r>
    </w:p>
    <w:p w14:paraId="0C3403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八</w:t>
      </w:r>
      <w:r>
        <w:rPr>
          <w:rFonts w:hint="eastAsia" w:ascii="Times New Roman" w:hAnsi="Times New Roman" w:eastAsia="仿宋_GB2312"/>
          <w:spacing w:val="0"/>
          <w:sz w:val="32"/>
          <w:szCs w:val="32"/>
          <w:lang w:eastAsia="zh-CN"/>
        </w:rPr>
        <w:t>）未按照相关档案管理规定管理、保存相关结算资料（含信息系统资料），且未造成</w:t>
      </w:r>
      <w:r>
        <w:rPr>
          <w:rFonts w:hint="eastAsia" w:ascii="Times New Roman" w:hAnsi="Times New Roman" w:eastAsia="仿宋_GB2312"/>
          <w:spacing w:val="0"/>
          <w:sz w:val="32"/>
          <w:szCs w:val="32"/>
          <w:lang w:val="en-US" w:eastAsia="zh-CN"/>
        </w:rPr>
        <w:t>相关</w:t>
      </w:r>
      <w:r>
        <w:rPr>
          <w:rFonts w:hint="eastAsia" w:ascii="Times New Roman" w:hAnsi="Times New Roman" w:eastAsia="仿宋_GB2312"/>
          <w:spacing w:val="0"/>
          <w:sz w:val="32"/>
          <w:szCs w:val="32"/>
          <w:lang w:eastAsia="zh-CN"/>
        </w:rPr>
        <w:t>违法违规违约事实无法查清的；</w:t>
      </w:r>
    </w:p>
    <w:p w14:paraId="5A38E5D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九</w:t>
      </w:r>
      <w:r>
        <w:rPr>
          <w:rFonts w:hint="eastAsia" w:ascii="Times New Roman" w:hAnsi="Times New Roman" w:eastAsia="仿宋_GB2312"/>
          <w:spacing w:val="0"/>
          <w:sz w:val="32"/>
          <w:szCs w:val="32"/>
          <w:lang w:eastAsia="zh-CN"/>
        </w:rPr>
        <w:t>）甲方有规定，未按规定配合甲方使用视频监控、人脸识别、实名制监管等系统，且未造成相关违法违规违约事实无法查清的；</w:t>
      </w:r>
    </w:p>
    <w:p w14:paraId="109AD1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（十）被约谈但未在限期内完成整改的；</w:t>
      </w:r>
    </w:p>
    <w:p w14:paraId="313C293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（十</w:t>
      </w:r>
      <w:r>
        <w:rPr>
          <w:rFonts w:hint="eastAsia" w:ascii="Times New Roman" w:hAnsi="Times New Roman" w:eastAsia="仿宋_GB2312"/>
          <w:spacing w:val="0"/>
          <w:sz w:val="32"/>
          <w:szCs w:val="32"/>
          <w:lang w:val="en-US" w:eastAsia="zh-CN"/>
        </w:rPr>
        <w:t>一</w:t>
      </w:r>
      <w:r>
        <w:rPr>
          <w:rFonts w:hint="eastAsia" w:ascii="Times New Roman" w:hAnsi="Times New Roman" w:eastAsia="仿宋_GB2312"/>
          <w:spacing w:val="0"/>
          <w:sz w:val="32"/>
          <w:szCs w:val="32"/>
          <w:lang w:eastAsia="zh-CN"/>
        </w:rPr>
        <w:t>）其他对医保基金结算造成影响，乙方应予以整改的情形。</w:t>
      </w:r>
    </w:p>
    <w:p w14:paraId="0A714B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spacing w:val="0"/>
          <w:sz w:val="32"/>
          <w:szCs w:val="32"/>
          <w:highlight w:val="none"/>
          <w:lang w:eastAsia="zh-CN"/>
        </w:rPr>
      </w:pPr>
      <w:r>
        <w:rPr>
          <w:rFonts w:hint="eastAsia" w:ascii="黑体" w:hAnsi="黑体" w:eastAsia="黑体" w:cs="黑体"/>
          <w:spacing w:val="0"/>
          <w:sz w:val="32"/>
          <w:szCs w:val="32"/>
          <w:lang w:eastAsia="zh-CN"/>
        </w:rPr>
        <w:t>第五十</w:t>
      </w:r>
      <w:r>
        <w:rPr>
          <w:rFonts w:hint="eastAsia" w:ascii="黑体" w:hAnsi="黑体" w:eastAsia="黑体" w:cs="黑体"/>
          <w:spacing w:val="0"/>
          <w:sz w:val="32"/>
          <w:szCs w:val="32"/>
          <w:lang w:val="en-US" w:eastAsia="zh-CN"/>
        </w:rPr>
        <w:t>三</w:t>
      </w:r>
      <w:r>
        <w:rPr>
          <w:rFonts w:hint="eastAsia" w:ascii="黑体" w:hAnsi="黑体" w:eastAsia="黑体" w:cs="黑体"/>
          <w:spacing w:val="0"/>
          <w:sz w:val="32"/>
          <w:szCs w:val="32"/>
          <w:lang w:eastAsia="zh-CN"/>
        </w:rPr>
        <w:t>条</w:t>
      </w:r>
      <w:r>
        <w:rPr>
          <w:rFonts w:hint="eastAsia" w:ascii="Times New Roman" w:hAnsi="Times New Roman" w:eastAsia="仿宋_GB2312"/>
          <w:spacing w:val="0"/>
          <w:sz w:val="32"/>
          <w:szCs w:val="32"/>
          <w:lang w:val="en-US" w:eastAsia="zh-CN"/>
        </w:rPr>
        <w:t xml:space="preserve">  </w:t>
      </w:r>
      <w:r>
        <w:rPr>
          <w:rFonts w:hint="eastAsia" w:ascii="Times New Roman" w:hAnsi="Times New Roman" w:eastAsia="仿宋_GB2312"/>
          <w:spacing w:val="0"/>
          <w:sz w:val="32"/>
          <w:szCs w:val="32"/>
          <w:lang w:eastAsia="zh-CN"/>
        </w:rPr>
        <w:t>经查实，乙方有下列情形之一的，或有第五十</w:t>
      </w:r>
      <w:r>
        <w:rPr>
          <w:rFonts w:hint="eastAsia" w:ascii="Times New Roman" w:hAnsi="Times New Roman" w:eastAsia="仿宋_GB2312"/>
          <w:spacing w:val="0"/>
          <w:sz w:val="32"/>
          <w:szCs w:val="32"/>
          <w:lang w:val="en-US" w:eastAsia="zh-CN"/>
        </w:rPr>
        <w:t>一</w:t>
      </w:r>
      <w:r>
        <w:rPr>
          <w:rFonts w:hint="eastAsia" w:ascii="Times New Roman" w:hAnsi="Times New Roman" w:eastAsia="仿宋_GB2312"/>
          <w:spacing w:val="0"/>
          <w:sz w:val="32"/>
          <w:szCs w:val="32"/>
          <w:lang w:eastAsia="zh-CN"/>
        </w:rPr>
        <w:t>条、第五十</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条情形且造成医保基金较大损失，或社会影响较大的，甲方不予支付或追回已支付的医保费用，可要求乙方支付违约金，违约金原则上不得超过乙方违规费用的</w:t>
      </w:r>
      <w:r>
        <w:rPr>
          <w:rFonts w:hint="eastAsia" w:ascii="Times New Roman" w:hAnsi="Times New Roman" w:eastAsia="仿宋_GB2312"/>
          <w:strike w:val="0"/>
          <w:dstrike w:val="0"/>
          <w:spacing w:val="0"/>
          <w:sz w:val="32"/>
          <w:szCs w:val="32"/>
          <w:highlight w:val="none"/>
          <w:lang w:val="en-US" w:eastAsia="zh-CN"/>
        </w:rPr>
        <w:t>10%</w:t>
      </w:r>
      <w:r>
        <w:rPr>
          <w:rFonts w:hint="eastAsia" w:ascii="Times New Roman" w:hAnsi="Times New Roman" w:eastAsia="仿宋_GB2312"/>
          <w:spacing w:val="0"/>
          <w:sz w:val="32"/>
          <w:szCs w:val="32"/>
          <w:lang w:eastAsia="zh-CN"/>
        </w:rPr>
        <w:t>，</w:t>
      </w:r>
      <w:r>
        <w:rPr>
          <w:rFonts w:ascii="Times New Roman" w:hAnsi="Times New Roman" w:eastAsia="仿宋_GB2312"/>
          <w:sz w:val="32"/>
          <w:szCs w:val="32"/>
          <w:highlight w:val="none"/>
        </w:rPr>
        <w:t>甲方</w:t>
      </w:r>
      <w:r>
        <w:rPr>
          <w:rFonts w:hint="eastAsia" w:ascii="Times New Roman" w:hAnsi="Times New Roman" w:eastAsia="仿宋_GB2312"/>
          <w:spacing w:val="0"/>
          <w:sz w:val="32"/>
          <w:szCs w:val="32"/>
          <w:highlight w:val="none"/>
          <w:lang w:eastAsia="zh-CN"/>
        </w:rPr>
        <w:t>可以</w:t>
      </w:r>
      <w:r>
        <w:rPr>
          <w:rFonts w:ascii="Times New Roman" w:hAnsi="Times New Roman" w:eastAsia="仿宋_GB2312"/>
          <w:sz w:val="32"/>
          <w:szCs w:val="32"/>
          <w:highlight w:val="none"/>
        </w:rPr>
        <w:t>给予乙方</w:t>
      </w:r>
      <w:r>
        <w:rPr>
          <w:rFonts w:hint="eastAsia" w:ascii="Times New Roman" w:hAnsi="Times New Roman" w:eastAsia="仿宋_GB2312"/>
          <w:sz w:val="32"/>
          <w:szCs w:val="32"/>
          <w:highlight w:val="none"/>
        </w:rPr>
        <w:t>中止</w:t>
      </w:r>
      <w:r>
        <w:rPr>
          <w:rFonts w:ascii="Times New Roman" w:hAnsi="Times New Roman" w:eastAsia="仿宋_GB2312"/>
          <w:sz w:val="32"/>
          <w:szCs w:val="32"/>
          <w:highlight w:val="none"/>
        </w:rPr>
        <w:t>医保服务</w:t>
      </w:r>
      <w:r>
        <w:rPr>
          <w:rFonts w:hint="eastAsia" w:ascii="Times New Roman" w:hAnsi="Times New Roman" w:eastAsia="仿宋_GB2312"/>
          <w:sz w:val="32"/>
          <w:szCs w:val="32"/>
          <w:highlight w:val="none"/>
        </w:rPr>
        <w:t>协议</w:t>
      </w:r>
      <w:r>
        <w:rPr>
          <w:rFonts w:ascii="Times New Roman" w:hAnsi="Times New Roman" w:eastAsia="仿宋_GB2312"/>
          <w:sz w:val="32"/>
          <w:szCs w:val="32"/>
          <w:highlight w:val="none"/>
        </w:rPr>
        <w:t>3个月</w:t>
      </w:r>
      <w:r>
        <w:rPr>
          <w:rFonts w:hint="eastAsia" w:ascii="Times New Roman" w:hAnsi="Times New Roman" w:eastAsia="仿宋_GB2312"/>
          <w:sz w:val="32"/>
          <w:szCs w:val="32"/>
          <w:highlight w:val="none"/>
        </w:rPr>
        <w:t>（含）以上</w:t>
      </w:r>
      <w:r>
        <w:rPr>
          <w:rFonts w:ascii="Times New Roman" w:hAnsi="Times New Roman" w:eastAsia="仿宋_GB2312"/>
          <w:sz w:val="32"/>
          <w:szCs w:val="32"/>
          <w:highlight w:val="none"/>
        </w:rPr>
        <w:t>6个</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rPr>
        <w:t>（含）以下</w:t>
      </w:r>
      <w:r>
        <w:rPr>
          <w:rFonts w:hint="eastAsia" w:ascii="Times New Roman" w:hAnsi="Times New Roman" w:eastAsia="仿宋_GB2312"/>
          <w:spacing w:val="0"/>
          <w:sz w:val="32"/>
          <w:szCs w:val="32"/>
          <w:highlight w:val="none"/>
          <w:lang w:eastAsia="zh-CN"/>
        </w:rPr>
        <w:t>：</w:t>
      </w:r>
    </w:p>
    <w:p w14:paraId="6E5AE16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一）甲方现场核查期间，乙方无执业药师或者依法经过资格认定的其他药学技术人员在经营场所或在经营场所不履职的；经查实，乙方向甲方申报的费用发生期间，乙方审核和调配对应处方的执业药师或者依法经过资格认定的其他药学技术人员不在经营场所的；</w:t>
      </w:r>
    </w:p>
    <w:p w14:paraId="7B7609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（二）经市场监管或行业主管部门查实，药械经营质量管理不规范或未达标的；向参保人员销售假冒伪劣、过期失效药品的；</w:t>
      </w:r>
    </w:p>
    <w:p w14:paraId="0ED5D08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none"/>
          <w:lang w:eastAsia="zh-CN"/>
        </w:rPr>
      </w:pPr>
      <w:r>
        <w:rPr>
          <w:rFonts w:hint="eastAsia" w:ascii="Times New Roman" w:hAnsi="Times New Roman" w:eastAsia="仿宋_GB2312"/>
          <w:spacing w:val="0"/>
          <w:sz w:val="32"/>
          <w:szCs w:val="32"/>
          <w:highlight w:val="none"/>
          <w:lang w:eastAsia="zh-CN"/>
        </w:rPr>
        <w:t>（三）违反医保药品外配处方管理规定且相关费用纳入医疗保障基金结算的；不按处方配药、使用定点医疗机构无资质人员开具的处方配药等违反处方管理规定的；违反门诊统筹相关规定，未凭定点医疗机构处方销售药品的；违反处方药管理相关规定，未凭定点医疗机构处方销售医保目录内处方药，或未对处方进行审核，或审核处方不严的；违反处方管理规定或医保部门规定，要求提供处方并留存无法提供的；处方时间晚于费用结算时间的；</w:t>
      </w:r>
    </w:p>
    <w:p w14:paraId="49232F4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（四）未核验参保人员医疗保障凭证，造成冒名购买药械的；</w:t>
      </w:r>
    </w:p>
    <w:p w14:paraId="5EE0230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（五）将不属于医疗保障基金支付范围的医药费用纳入医疗保障基金结算的；将超出医保目录范围、药品法定适应证的费用纳入医保统筹基金结算范围的；</w:t>
      </w:r>
    </w:p>
    <w:p w14:paraId="4B49AA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（六）为参保人员利用其享受医疗保障待遇的机会转卖药械，接受返还现金、实物或者获得其他非法利益提供便利的；</w:t>
      </w:r>
    </w:p>
    <w:p w14:paraId="09D1EA4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（七）未执行</w:t>
      </w:r>
      <w:r>
        <w:rPr>
          <w:rFonts w:hint="eastAsia" w:ascii="Times New Roman" w:hAnsi="Times New Roman" w:eastAsia="仿宋_GB2312"/>
          <w:spacing w:val="0"/>
          <w:sz w:val="32"/>
          <w:szCs w:val="32"/>
          <w:lang w:val="en-US" w:eastAsia="zh-CN"/>
        </w:rPr>
        <w:t>医保特殊药品</w:t>
      </w:r>
      <w:r>
        <w:rPr>
          <w:rFonts w:hint="eastAsia" w:ascii="Times New Roman" w:hAnsi="Times New Roman" w:eastAsia="仿宋_GB2312"/>
          <w:spacing w:val="0"/>
          <w:sz w:val="32"/>
          <w:szCs w:val="32"/>
          <w:lang w:eastAsia="zh-CN"/>
        </w:rPr>
        <w:t>相关规定，造成医疗保障基金损失的；</w:t>
      </w:r>
    </w:p>
    <w:p w14:paraId="70063E6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highlight w:val="none"/>
          <w:lang w:eastAsia="zh-CN"/>
        </w:rPr>
      </w:pP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spacing w:val="0"/>
          <w:sz w:val="32"/>
          <w:szCs w:val="32"/>
          <w:highlight w:val="none"/>
          <w:lang w:val="en-US" w:eastAsia="zh-CN"/>
        </w:rPr>
        <w:t>八</w:t>
      </w:r>
      <w:r>
        <w:rPr>
          <w:rFonts w:hint="eastAsia" w:ascii="Times New Roman" w:hAnsi="Times New Roman" w:eastAsia="仿宋_GB2312"/>
          <w:spacing w:val="0"/>
          <w:sz w:val="32"/>
          <w:szCs w:val="32"/>
          <w:highlight w:val="none"/>
          <w:lang w:eastAsia="zh-CN"/>
        </w:rPr>
        <w:t>）未按要求采集、核验、上传药械追溯码信息的；</w:t>
      </w:r>
    </w:p>
    <w:p w14:paraId="4B86C0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九</w:t>
      </w:r>
      <w:r>
        <w:rPr>
          <w:rFonts w:hint="eastAsia" w:ascii="Times New Roman" w:hAnsi="Times New Roman" w:eastAsia="仿宋_GB2312"/>
          <w:spacing w:val="0"/>
          <w:sz w:val="32"/>
          <w:szCs w:val="32"/>
          <w:lang w:eastAsia="zh-CN"/>
        </w:rPr>
        <w:t>）其他造成医疗保障基金损失的情形。</w:t>
      </w:r>
    </w:p>
    <w:p w14:paraId="636AD39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第五十</w:t>
      </w:r>
      <w:r>
        <w:rPr>
          <w:rFonts w:hint="eastAsia" w:ascii="Times New Roman" w:hAnsi="Times New Roman" w:eastAsia="黑体"/>
          <w:color w:val="000000" w:themeColor="text1"/>
          <w:sz w:val="32"/>
          <w:lang w:val="en-US" w:eastAsia="zh-CN"/>
          <w14:textFill>
            <w14:solidFill>
              <w14:schemeClr w14:val="tx1"/>
            </w14:solidFill>
          </w14:textFill>
        </w:rPr>
        <w:t>四</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乙方有下列情形之一的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一</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二</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三</w:t>
      </w:r>
      <w:r>
        <w:rPr>
          <w:rFonts w:ascii="Times New Roman" w:hAnsi="Times New Roman" w:eastAsia="仿宋_GB2312"/>
          <w:color w:val="000000" w:themeColor="text1"/>
          <w:spacing w:val="0"/>
          <w:sz w:val="32"/>
          <w:szCs w:val="32"/>
          <w14:textFill>
            <w14:solidFill>
              <w14:schemeClr w14:val="tx1"/>
            </w14:solidFill>
          </w14:textFill>
        </w:rPr>
        <w:t>条情形且造成医保基金较大损失</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或社会影响较大的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甲方不予支付或追回已支付的医保费用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sz w:val="32"/>
          <w:szCs w:val="32"/>
          <w:highlight w:val="none"/>
        </w:rPr>
        <w:t>同时处以</w:t>
      </w:r>
      <w:r>
        <w:rPr>
          <w:rFonts w:ascii="Times New Roman" w:hAnsi="Times New Roman" w:eastAsia="仿宋_GB2312"/>
          <w:sz w:val="32"/>
          <w:szCs w:val="32"/>
          <w:highlight w:val="none"/>
        </w:rPr>
        <w:t>中止</w:t>
      </w:r>
      <w:r>
        <w:rPr>
          <w:rFonts w:hint="eastAsia" w:ascii="Times New Roman" w:hAnsi="Times New Roman" w:eastAsia="仿宋_GB2312"/>
          <w:bCs/>
          <w:sz w:val="32"/>
          <w:highlight w:val="none"/>
        </w:rPr>
        <w:t>医保服务</w:t>
      </w:r>
      <w:r>
        <w:rPr>
          <w:rFonts w:hint="eastAsia" w:ascii="Times New Roman" w:hAnsi="Times New Roman" w:eastAsia="仿宋_GB2312"/>
          <w:sz w:val="32"/>
          <w:szCs w:val="32"/>
          <w:highlight w:val="none"/>
        </w:rPr>
        <w:t>协议</w:t>
      </w:r>
      <w:r>
        <w:rPr>
          <w:rFonts w:ascii="Times New Roman" w:hAnsi="Times New Roman" w:eastAsia="仿宋_GB2312"/>
          <w:sz w:val="32"/>
          <w:szCs w:val="32"/>
          <w:highlight w:val="none"/>
        </w:rPr>
        <w:t>6个月</w:t>
      </w:r>
      <w:r>
        <w:rPr>
          <w:rFonts w:hint="eastAsia" w:ascii="Times New Roman" w:hAnsi="Times New Roman" w:eastAsia="仿宋_GB2312"/>
          <w:sz w:val="32"/>
          <w:szCs w:val="32"/>
          <w:highlight w:val="none"/>
        </w:rPr>
        <w:t>（含）以上至</w:t>
      </w:r>
      <w:r>
        <w:rPr>
          <w:rFonts w:ascii="Times New Roman" w:hAnsi="Times New Roman" w:eastAsia="仿宋_GB2312"/>
          <w:sz w:val="32"/>
          <w:szCs w:val="32"/>
          <w:highlight w:val="none"/>
        </w:rPr>
        <w:t>1年以下</w:t>
      </w:r>
      <w:r>
        <w:rPr>
          <w:rFonts w:hint="eastAsia" w:ascii="Times New Roman" w:hAnsi="Times New Roman" w:eastAsia="仿宋_GB2312"/>
          <w:sz w:val="32"/>
          <w:szCs w:val="32"/>
          <w:highlight w:val="none"/>
          <w:lang w:eastAsia="zh-CN"/>
        </w:rPr>
        <w:t>，</w:t>
      </w:r>
      <w:r>
        <w:rPr>
          <w:rFonts w:ascii="Times New Roman" w:hAnsi="Times New Roman" w:eastAsia="仿宋_GB2312"/>
          <w:color w:val="000000" w:themeColor="text1"/>
          <w:spacing w:val="0"/>
          <w:sz w:val="32"/>
          <w:szCs w:val="32"/>
          <w:highlight w:val="none"/>
          <w14:textFill>
            <w14:solidFill>
              <w14:schemeClr w14:val="tx1"/>
            </w14:solidFill>
          </w14:textFill>
        </w:rPr>
        <w:t>中止期间发生的医保费用不予结算（可视情况执行到相关责任人员涉及医疗保障基金使用的服务）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并向社会公布中止医保协议情况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可要求乙方支付违约金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违约金原则上不得超过乙方违规费用的</w:t>
      </w:r>
      <w:r>
        <w:rPr>
          <w:rFonts w:hint="eastAsia" w:ascii="Times New Roman" w:hAnsi="Times New Roman" w:eastAsia="仿宋_GB2312"/>
          <w:strike w:val="0"/>
          <w:dstrike w:val="0"/>
          <w:color w:val="000000" w:themeColor="text1"/>
          <w:spacing w:val="0"/>
          <w:sz w:val="32"/>
          <w:szCs w:val="32"/>
          <w:highlight w:val="none"/>
          <w:lang w:val="en-US" w:eastAsia="zh-CN"/>
          <w14:textFill>
            <w14:solidFill>
              <w14:schemeClr w14:val="tx1"/>
            </w14:solidFill>
          </w14:textFill>
        </w:rPr>
        <w:t>20%</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44F8A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（一）超出药械经营许可或者备案规定范围开展药械服务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并纳入医疗保障基金结算的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CF6F5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（二）在处方等资料中伪造、变造、冒用执业药师或者依法经过资格认定的其他药学技术人员签名骗取医保基金的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EEB61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（三）根据协议履行核查和医保绩效考核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发现对医疗保障基金安全和参保人员权益可能造成重大风险的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22D49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（四）未按规定向医疗保障行政部门及甲方提供有关数据或提供数据不真实的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4654D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（五）未按照规定保管财务账目、会计凭证、处方、费用明细、药械出入库记录等资料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未规范财务管理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未规范票据的领购、使用、保管及核销等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未按照要求管理、保存相关结算资料（含信息系统资料）以及药械盘点数据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未开展药械进销存管理或未建立药械进销存电子台账以及留存相关凭证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发生以上情形且造成违法违规违约事实无法查清的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D9F79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（六）视频监控保存时限未达到规定的时限要求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C76F1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（七）要求提供核查违法违规违约行为相关材料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在规定时限内无法提供</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1FA37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（八）诱导、协助他人冒名或者虚假购买药械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提供虚假证明材料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或者串通他人虚开费用单据的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43250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九</w:t>
      </w:r>
      <w:r>
        <w:rPr>
          <w:rFonts w:ascii="Times New Roman" w:hAnsi="Times New Roman" w:eastAsia="仿宋_GB2312"/>
          <w:color w:val="000000" w:themeColor="text1"/>
          <w:spacing w:val="0"/>
          <w:sz w:val="32"/>
          <w:szCs w:val="32"/>
          <w14:textFill>
            <w14:solidFill>
              <w14:schemeClr w14:val="tx1"/>
            </w14:solidFill>
          </w14:textFill>
        </w:rPr>
        <w:t>）虚假上传、串换上传药械追溯码信息的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F3B49E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（十）将票据转让或转借给其他机构或人员使用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提供不实资料、传输虚假数据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造成医疗保障基金损失的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CC32F6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一</w:t>
      </w:r>
      <w:r>
        <w:rPr>
          <w:rFonts w:ascii="Times New Roman" w:hAnsi="Times New Roman" w:eastAsia="仿宋_GB2312"/>
          <w:color w:val="000000" w:themeColor="text1"/>
          <w:spacing w:val="0"/>
          <w:sz w:val="32"/>
          <w:szCs w:val="32"/>
          <w14:textFill>
            <w14:solidFill>
              <w14:schemeClr w14:val="tx1"/>
            </w14:solidFill>
          </w14:textFill>
        </w:rPr>
        <w:t>）为参保人员套取职工医保个人账户资金的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C8FFE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二</w:t>
      </w:r>
      <w:r>
        <w:rPr>
          <w:rFonts w:ascii="Times New Roman" w:hAnsi="Times New Roman" w:eastAsia="仿宋_GB2312"/>
          <w:color w:val="000000" w:themeColor="text1"/>
          <w:spacing w:val="0"/>
          <w:sz w:val="32"/>
          <w:szCs w:val="32"/>
          <w14:textFill>
            <w14:solidFill>
              <w14:schemeClr w14:val="tx1"/>
            </w14:solidFill>
          </w14:textFill>
        </w:rPr>
        <w:t>）根据医保协议约定应当中止医保协议的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23DBD0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三</w:t>
      </w:r>
      <w:r>
        <w:rPr>
          <w:rFonts w:ascii="Times New Roman" w:hAnsi="Times New Roman" w:eastAsia="仿宋_GB2312"/>
          <w:color w:val="000000" w:themeColor="text1"/>
          <w:spacing w:val="0"/>
          <w:sz w:val="32"/>
          <w:szCs w:val="32"/>
          <w14:textFill>
            <w14:solidFill>
              <w14:schemeClr w14:val="tx1"/>
            </w14:solidFill>
          </w14:textFill>
        </w:rPr>
        <w:t>）法律法规和规章规定的应当中止医保协议的其他情形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F5322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第五十</w:t>
      </w:r>
      <w:r>
        <w:rPr>
          <w:rFonts w:hint="eastAsia" w:ascii="Times New Roman" w:hAnsi="Times New Roman" w:eastAsia="黑体"/>
          <w:color w:val="000000" w:themeColor="text1"/>
          <w:sz w:val="32"/>
          <w:lang w:val="en-US" w:eastAsia="zh-CN"/>
          <w14:textFill>
            <w14:solidFill>
              <w14:schemeClr w14:val="tx1"/>
            </w14:solidFill>
          </w14:textFill>
        </w:rPr>
        <w:t>五</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乙方有下列情形之一的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一</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二</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三</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四</w:t>
      </w:r>
      <w:r>
        <w:rPr>
          <w:rFonts w:ascii="Times New Roman" w:hAnsi="Times New Roman" w:eastAsia="仿宋_GB2312"/>
          <w:color w:val="000000" w:themeColor="text1"/>
          <w:spacing w:val="0"/>
          <w:sz w:val="32"/>
          <w:szCs w:val="32"/>
          <w14:textFill>
            <w14:solidFill>
              <w14:schemeClr w14:val="tx1"/>
            </w14:solidFill>
          </w14:textFill>
        </w:rPr>
        <w:t>条情形且性质恶劣的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或造成医保基金重大损失的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或社会影响严重的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甲方不予支付或追回已支付的医保费用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给予乙方解除医保协议处理（可视情况执行到相关责任人员涉及医疗保障基金使用的服务）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并向社会公布解除医保协议情况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可要求乙方支付违约金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违约金原则上不得超过乙方违规费用的30%:</w:t>
      </w:r>
    </w:p>
    <w:p w14:paraId="79259E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（一）通过挂靠、买卖、租借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执业药师注册证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等执业资质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或使用无执业资质人员开展本机构的药品管理、处方审核和调配、合理用药指导等工作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并纳入医疗保障基金结算的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50897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（二）医保协议有效期内累计2次及以上被中止医保协议或中止医保协议期间未按要求整改或整改不到位的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665AE1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（三）发生重大药品质量安全事件的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1E2697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（四）以弄虚作假等不正当手段申请取得定点的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B32AF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（五）从非法渠道购进药械进行医保销售的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025B3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（六）以伪造、变造医保药械进销存票据和账目、伪造处方或参保人员费用清单等方式</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骗取医疗保障基金的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EBC84D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（七）将非医保药品或其他商品串换成医保药品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倒卖医保药品或套取医疗保障基金的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协助倒卖医保基金支付的药品、销售医保基金支付的回流药的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4144B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（八）要求提供或恢复视频监控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在规定的时限内无法提供或恢复</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319D4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（九）为非定点零售药店、中止医保协议期间的定点零售药店或其他机构进行医保费用结算的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乙方开通门诊统筹、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药品购药、门诊慢特病患者购药等服务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且为未开通相应服务的零售药店进行相关医保费用结算的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2D148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（十）将医保结算设备转借或赠予他人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改变使用场地的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2D8C3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（十一）拒绝、阻挠或不配合甲方开展智能审核、医保绩效考核等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情节恶劣的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1FB8D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（十二）被发现重大信息发生变更但未办理变更</w:t>
      </w:r>
      <w:r>
        <w:rPr>
          <w:rFonts w:hint="eastAsia" w:ascii="Times New Roman" w:hAnsi="Times New Roman" w:eastAsia="仿宋_GB2312"/>
          <w:color w:val="auto"/>
          <w:spacing w:val="0"/>
          <w:sz w:val="32"/>
          <w:szCs w:val="32"/>
          <w:lang w:val="en-US" w:eastAsia="zh-CN"/>
        </w:rPr>
        <w:t>或变更信息与实际不符的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89B595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（十三）医疗保障行政部门或有关执法机构在行政执法中</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发现乙方存在重大违法违规行为且可能造成医疗保障基金重大损失的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AEB7C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（十四）被吊销药品经营许可证、医疗器械经营许可证或营业执照的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2CFE00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（十五）未依法履行医疗保障行政部门作出的行政处罚决定的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AC29E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（十六）法定代表人、企业负责人或实际控制人不能履行医保协议约定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或有违法失信行为的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967CC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（十七）因乙方连锁经营企业总部法定代表人、企业负责人或实际控制人违法违规导致连锁零售药店其中一家分支零售药店被解除医保协议的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相同法定代表人、企业负责人或实际控制人的其他分支零售药店同时解除医保协议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23AB0F4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（十八）根据医保协议约定应当解除协议的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14D0BE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（十九）法律法规和规章规定的其他应当解除的情形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7BACC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olor w:val="000000" w:themeColor="text1"/>
          <w:spacing w:val="0"/>
          <w:sz w:val="32"/>
          <w:szCs w:val="32"/>
          <w:highlight w:val="yellow"/>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第五十</w:t>
      </w:r>
      <w:r>
        <w:rPr>
          <w:rFonts w:hint="eastAsia" w:ascii="Times New Roman" w:hAnsi="Times New Roman" w:eastAsia="黑体"/>
          <w:color w:val="000000" w:themeColor="text1"/>
          <w:sz w:val="32"/>
          <w:lang w:val="en-US" w:eastAsia="zh-CN"/>
          <w14:textFill>
            <w14:solidFill>
              <w14:schemeClr w14:val="tx1"/>
            </w14:solidFill>
          </w14:textFill>
        </w:rPr>
        <w:t>六</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highlight w:val="none"/>
          <w14:textFill>
            <w14:solidFill>
              <w14:schemeClr w14:val="tx1"/>
            </w14:solidFill>
          </w14:textFill>
        </w:rPr>
        <w:t>乙方因严重违反医保</w:t>
      </w:r>
      <w:r>
        <w:rPr>
          <w:rFonts w:hint="eastAsia" w:ascii="Times New Roman" w:hAnsi="Times New Roman" w:eastAsia="仿宋_GB2312"/>
          <w:color w:val="000000" w:themeColor="text1"/>
          <w:spacing w:val="0"/>
          <w:sz w:val="32"/>
          <w:szCs w:val="32"/>
          <w:highlight w:val="none"/>
          <w14:textFill>
            <w14:solidFill>
              <w14:schemeClr w14:val="tx1"/>
            </w14:solidFill>
          </w14:textFill>
        </w:rPr>
        <w:t>服务</w:t>
      </w:r>
      <w:r>
        <w:rPr>
          <w:rFonts w:ascii="Times New Roman" w:hAnsi="Times New Roman" w:eastAsia="仿宋_GB2312"/>
          <w:color w:val="000000" w:themeColor="text1"/>
          <w:spacing w:val="0"/>
          <w:sz w:val="32"/>
          <w:szCs w:val="32"/>
          <w:highlight w:val="none"/>
          <w14:textFill>
            <w14:solidFill>
              <w14:schemeClr w14:val="tx1"/>
            </w14:solidFill>
          </w14:textFill>
        </w:rPr>
        <w:t>协议约定而被解除协议未满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1</w:t>
      </w:r>
      <w:r>
        <w:rPr>
          <w:rFonts w:ascii="Times New Roman" w:hAnsi="Times New Roman" w:eastAsia="仿宋_GB2312"/>
          <w:color w:val="000000" w:themeColor="text1"/>
          <w:spacing w:val="0"/>
          <w:sz w:val="32"/>
          <w:szCs w:val="32"/>
          <w:highlight w:val="none"/>
          <w14:textFill>
            <w14:solidFill>
              <w14:schemeClr w14:val="tx1"/>
            </w14:solidFill>
          </w14:textFill>
        </w:rPr>
        <w:t>年或已满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1</w:t>
      </w:r>
      <w:r>
        <w:rPr>
          <w:rFonts w:ascii="Times New Roman" w:hAnsi="Times New Roman" w:eastAsia="仿宋_GB2312"/>
          <w:color w:val="000000" w:themeColor="text1"/>
          <w:spacing w:val="0"/>
          <w:sz w:val="32"/>
          <w:szCs w:val="32"/>
          <w:highlight w:val="none"/>
          <w14:textFill>
            <w14:solidFill>
              <w14:schemeClr w14:val="tx1"/>
            </w14:solidFill>
          </w14:textFill>
        </w:rPr>
        <w:t>年未完全</w:t>
      </w:r>
      <w:r>
        <w:rPr>
          <w:rFonts w:hint="eastAsia" w:ascii="Times New Roman" w:hAnsi="Times New Roman" w:eastAsia="仿宋_GB2312"/>
          <w:color w:val="000000" w:themeColor="text1"/>
          <w:spacing w:val="0"/>
          <w:sz w:val="32"/>
          <w:szCs w:val="32"/>
          <w:highlight w:val="none"/>
          <w14:textFill>
            <w14:solidFill>
              <w14:schemeClr w14:val="tx1"/>
            </w14:solidFill>
          </w14:textFill>
        </w:rPr>
        <w:t>履行</w:t>
      </w:r>
      <w:r>
        <w:rPr>
          <w:rFonts w:ascii="Times New Roman" w:hAnsi="Times New Roman" w:eastAsia="仿宋_GB2312"/>
          <w:color w:val="000000" w:themeColor="text1"/>
          <w:spacing w:val="0"/>
          <w:sz w:val="32"/>
          <w:szCs w:val="32"/>
          <w:highlight w:val="none"/>
          <w14:textFill>
            <w14:solidFill>
              <w14:schemeClr w14:val="tx1"/>
            </w14:solidFill>
          </w14:textFill>
        </w:rPr>
        <w:t>违约责任的，甲方不受理其医保定点申请；乙方因存在违法行为被解除服务协议未满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3</w:t>
      </w:r>
      <w:r>
        <w:rPr>
          <w:rFonts w:ascii="Times New Roman" w:hAnsi="Times New Roman" w:eastAsia="仿宋_GB2312"/>
          <w:color w:val="000000" w:themeColor="text1"/>
          <w:spacing w:val="0"/>
          <w:sz w:val="32"/>
          <w:szCs w:val="32"/>
          <w:highlight w:val="none"/>
          <w14:textFill>
            <w14:solidFill>
              <w14:schemeClr w14:val="tx1"/>
            </w14:solidFill>
          </w14:textFill>
        </w:rPr>
        <w:t>年或已满</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3</w:t>
      </w:r>
      <w:r>
        <w:rPr>
          <w:rFonts w:ascii="Times New Roman" w:hAnsi="Times New Roman" w:eastAsia="仿宋_GB2312"/>
          <w:color w:val="000000" w:themeColor="text1"/>
          <w:spacing w:val="0"/>
          <w:sz w:val="32"/>
          <w:szCs w:val="32"/>
          <w:highlight w:val="none"/>
          <w14:textFill>
            <w14:solidFill>
              <w14:schemeClr w14:val="tx1"/>
            </w14:solidFill>
          </w14:textFill>
        </w:rPr>
        <w:t>年但未完全履行行政处罚法律责任的，甲方不受理其医保定点申请；乙方解除协议后通过变相的更改名称、法定代表人等信息后在原址重新取得</w:t>
      </w:r>
      <w:r>
        <w:rPr>
          <w:rFonts w:hint="eastAsia" w:ascii="Times New Roman" w:hAnsi="Times New Roman" w:eastAsia="仿宋_GB2312"/>
          <w:color w:val="000000" w:themeColor="text1"/>
          <w:spacing w:val="0"/>
          <w:sz w:val="32"/>
          <w:szCs w:val="32"/>
          <w:highlight w:val="none"/>
          <w14:textFill>
            <w14:solidFill>
              <w14:schemeClr w14:val="tx1"/>
            </w14:solidFill>
          </w14:textFill>
        </w:rPr>
        <w:t>《药品经营许可证》《营业执照》等</w:t>
      </w:r>
      <w:r>
        <w:rPr>
          <w:rFonts w:ascii="Times New Roman" w:hAnsi="Times New Roman" w:eastAsia="仿宋_GB2312"/>
          <w:color w:val="000000" w:themeColor="text1"/>
          <w:spacing w:val="0"/>
          <w:sz w:val="32"/>
          <w:szCs w:val="32"/>
          <w:highlight w:val="none"/>
          <w14:textFill>
            <w14:solidFill>
              <w14:schemeClr w14:val="tx1"/>
            </w14:solidFill>
          </w14:textFill>
        </w:rPr>
        <w:t>相关资质申请医保定点的，甲方视原协议解除违约违法情况，</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1</w:t>
      </w:r>
      <w:r>
        <w:rPr>
          <w:rFonts w:ascii="Times New Roman" w:hAnsi="Times New Roman" w:eastAsia="仿宋_GB2312"/>
          <w:color w:val="000000" w:themeColor="text1"/>
          <w:spacing w:val="0"/>
          <w:sz w:val="32"/>
          <w:szCs w:val="32"/>
          <w:highlight w:val="none"/>
          <w14:textFill>
            <w14:solidFill>
              <w14:schemeClr w14:val="tx1"/>
            </w14:solidFill>
          </w14:textFill>
        </w:rPr>
        <w:t>年或</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3</w:t>
      </w:r>
      <w:r>
        <w:rPr>
          <w:rFonts w:hint="eastAsia" w:ascii="Times New Roman" w:hAnsi="Times New Roman" w:eastAsia="仿宋_GB2312"/>
          <w:color w:val="000000" w:themeColor="text1"/>
          <w:spacing w:val="0"/>
          <w:sz w:val="32"/>
          <w:szCs w:val="32"/>
          <w:highlight w:val="none"/>
          <w14:textFill>
            <w14:solidFill>
              <w14:schemeClr w14:val="tx1"/>
            </w14:solidFill>
          </w14:textFill>
        </w:rPr>
        <w:t>年</w:t>
      </w:r>
      <w:r>
        <w:rPr>
          <w:rFonts w:ascii="Times New Roman" w:hAnsi="Times New Roman" w:eastAsia="仿宋_GB2312"/>
          <w:color w:val="000000" w:themeColor="text1"/>
          <w:spacing w:val="0"/>
          <w:sz w:val="32"/>
          <w:szCs w:val="32"/>
          <w:highlight w:val="none"/>
          <w14:textFill>
            <w14:solidFill>
              <w14:schemeClr w14:val="tx1"/>
            </w14:solidFill>
          </w14:textFill>
        </w:rPr>
        <w:t>不受理其医保定点申请；法定代表人、</w:t>
      </w:r>
      <w:r>
        <w:rPr>
          <w:rFonts w:hint="eastAsia" w:ascii="Times New Roman" w:hAnsi="Times New Roman" w:eastAsia="仿宋_GB2312"/>
          <w:color w:val="000000" w:themeColor="text1"/>
          <w:spacing w:val="0"/>
          <w:sz w:val="32"/>
          <w:szCs w:val="32"/>
          <w:highlight w:val="none"/>
          <w14:textFill>
            <w14:solidFill>
              <w14:schemeClr w14:val="tx1"/>
            </w14:solidFill>
          </w14:textFill>
        </w:rPr>
        <w:t>企业</w:t>
      </w:r>
      <w:r>
        <w:rPr>
          <w:rFonts w:ascii="Times New Roman" w:hAnsi="Times New Roman" w:eastAsia="仿宋_GB2312"/>
          <w:color w:val="000000" w:themeColor="text1"/>
          <w:spacing w:val="0"/>
          <w:sz w:val="32"/>
          <w:szCs w:val="32"/>
          <w:highlight w:val="none"/>
          <w14:textFill>
            <w14:solidFill>
              <w14:schemeClr w14:val="tx1"/>
            </w14:solidFill>
          </w14:textFill>
        </w:rPr>
        <w:t>负责人或实际控制人曾因严重违法违规导致原定点</w:t>
      </w:r>
      <w:r>
        <w:rPr>
          <w:rFonts w:hint="eastAsia" w:ascii="Times New Roman" w:hAnsi="Times New Roman" w:eastAsia="仿宋_GB2312"/>
          <w:color w:val="000000" w:themeColor="text1"/>
          <w:spacing w:val="0"/>
          <w:sz w:val="32"/>
          <w:szCs w:val="32"/>
          <w:highlight w:val="none"/>
          <w14:textFill>
            <w14:solidFill>
              <w14:schemeClr w14:val="tx1"/>
            </w14:solidFill>
          </w14:textFill>
        </w:rPr>
        <w:t>零售药店</w:t>
      </w:r>
      <w:r>
        <w:rPr>
          <w:rFonts w:ascii="Times New Roman" w:hAnsi="Times New Roman" w:eastAsia="仿宋_GB2312"/>
          <w:color w:val="000000" w:themeColor="text1"/>
          <w:spacing w:val="0"/>
          <w:sz w:val="32"/>
          <w:szCs w:val="32"/>
          <w:highlight w:val="none"/>
          <w14:textFill>
            <w14:solidFill>
              <w14:schemeClr w14:val="tx1"/>
            </w14:solidFill>
          </w14:textFill>
        </w:rPr>
        <w:t>被解除医保</w:t>
      </w:r>
      <w:r>
        <w:rPr>
          <w:rFonts w:hint="eastAsia" w:ascii="Times New Roman" w:hAnsi="Times New Roman" w:eastAsia="仿宋_GB2312"/>
          <w:color w:val="000000" w:themeColor="text1"/>
          <w:spacing w:val="0"/>
          <w:sz w:val="32"/>
          <w:szCs w:val="32"/>
          <w:highlight w:val="none"/>
          <w14:textFill>
            <w14:solidFill>
              <w14:schemeClr w14:val="tx1"/>
            </w14:solidFill>
          </w14:textFill>
        </w:rPr>
        <w:t>服务</w:t>
      </w:r>
      <w:r>
        <w:rPr>
          <w:rFonts w:ascii="Times New Roman" w:hAnsi="Times New Roman" w:eastAsia="仿宋_GB2312"/>
          <w:color w:val="000000" w:themeColor="text1"/>
          <w:spacing w:val="0"/>
          <w:sz w:val="32"/>
          <w:szCs w:val="32"/>
          <w:highlight w:val="none"/>
          <w14:textFill>
            <w14:solidFill>
              <w14:schemeClr w14:val="tx1"/>
            </w14:solidFill>
          </w14:textFill>
        </w:rPr>
        <w:t>协议，甲方</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5</w:t>
      </w:r>
      <w:r>
        <w:rPr>
          <w:rFonts w:ascii="Times New Roman" w:hAnsi="Times New Roman" w:eastAsia="仿宋_GB2312"/>
          <w:color w:val="000000" w:themeColor="text1"/>
          <w:spacing w:val="0"/>
          <w:sz w:val="32"/>
          <w:szCs w:val="32"/>
          <w:highlight w:val="none"/>
          <w14:textFill>
            <w14:solidFill>
              <w14:schemeClr w14:val="tx1"/>
            </w14:solidFill>
          </w14:textFill>
        </w:rPr>
        <w:t>年内不予受</w:t>
      </w:r>
      <w:r>
        <w:rPr>
          <w:rFonts w:hint="eastAsia" w:ascii="Times New Roman" w:hAnsi="Times New Roman" w:eastAsia="仿宋_GB2312"/>
          <w:color w:val="000000" w:themeColor="text1"/>
          <w:spacing w:val="0"/>
          <w:sz w:val="32"/>
          <w:szCs w:val="32"/>
          <w:highlight w:val="none"/>
          <w14:textFill>
            <w14:solidFill>
              <w14:schemeClr w14:val="tx1"/>
            </w14:solidFill>
          </w14:textFill>
        </w:rPr>
        <w:t>理医保定点申请。</w:t>
      </w:r>
    </w:p>
    <w:p w14:paraId="328BD6A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五十七</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对违反医保协议的乙方相关责任人员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根据行为性质和负有责任程度等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按照医保支付资格管理要求进行记分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当记分达到一定分值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暂停或终止相关责任人员医保支付资格和费用结算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3BC6B24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黑体"/>
          <w:sz w:val="32"/>
        </w:rPr>
        <w:t>第</w:t>
      </w:r>
      <w:r>
        <w:rPr>
          <w:rFonts w:hint="eastAsia" w:ascii="Times New Roman" w:hAnsi="Times New Roman" w:eastAsia="黑体"/>
          <w:sz w:val="32"/>
          <w:lang w:val="en-US" w:eastAsia="zh-CN"/>
        </w:rPr>
        <w:t>五十八</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审计、公安、检察院、法院、纪检、卫生健康、中医药、市场监管、药品监管、财政、税务、金融监管、商务等部门发现乙方涉嫌存在重大违法违规行为、影响医保基金安全等情形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向甲方通报后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或甲方发现乙方涉嫌违反本协议约定且对医保基金安全、参保人员权益造成重大风险的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甲方可对乙方采取暂停医疗保障基金结算等措施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待调查完结后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查实乙方存在违反协议约定情形的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甲方依据医保协议作出协议处理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BEB23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经</w:t>
      </w:r>
      <w:r>
        <w:rPr>
          <w:rFonts w:ascii="Times New Roman" w:hAnsi="Times New Roman" w:eastAsia="仿宋_GB2312"/>
          <w:color w:val="000000" w:themeColor="text1"/>
          <w:sz w:val="32"/>
          <w:szCs w:val="32"/>
          <w14:textFill>
            <w14:solidFill>
              <w14:schemeClr w14:val="tx1"/>
            </w14:solidFill>
          </w14:textFill>
        </w:rPr>
        <w:t>查实，乙方</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工作人员存在骗取医保基金等</w:t>
      </w:r>
      <w:r>
        <w:rPr>
          <w:rFonts w:hint="eastAsia" w:ascii="Times New Roman" w:hAnsi="Times New Roman" w:eastAsia="仿宋_GB2312"/>
          <w:color w:val="000000" w:themeColor="text1"/>
          <w:sz w:val="32"/>
          <w:szCs w:val="32"/>
          <w14:textFill>
            <w14:solidFill>
              <w14:schemeClr w14:val="tx1"/>
            </w14:solidFill>
          </w14:textFill>
        </w:rPr>
        <w:t>违法</w:t>
      </w:r>
      <w:r>
        <w:rPr>
          <w:rFonts w:ascii="Times New Roman" w:hAnsi="Times New Roman" w:eastAsia="仿宋_GB2312"/>
          <w:color w:val="000000" w:themeColor="text1"/>
          <w:sz w:val="32"/>
          <w:szCs w:val="32"/>
          <w14:textFill>
            <w14:solidFill>
              <w14:schemeClr w14:val="tx1"/>
            </w14:solidFill>
          </w14:textFill>
        </w:rPr>
        <w:t>违规行为</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，甲方可提请</w:t>
      </w:r>
      <w:r>
        <w:rPr>
          <w:rFonts w:hint="eastAsia" w:ascii="Times New Roman" w:hAnsi="Times New Roman" w:eastAsia="仿宋_GB2312"/>
          <w:color w:val="000000" w:themeColor="text1"/>
          <w:sz w:val="32"/>
          <w:szCs w:val="32"/>
          <w14:textFill>
            <w14:solidFill>
              <w14:schemeClr w14:val="tx1"/>
            </w14:solidFill>
          </w14:textFill>
        </w:rPr>
        <w:t>医疗保障行政</w:t>
      </w:r>
      <w:r>
        <w:rPr>
          <w:rFonts w:ascii="Times New Roman" w:hAnsi="Times New Roman" w:eastAsia="仿宋_GB2312"/>
          <w:color w:val="000000" w:themeColor="text1"/>
          <w:sz w:val="32"/>
          <w:szCs w:val="32"/>
          <w14:textFill>
            <w14:solidFill>
              <w14:schemeClr w14:val="tx1"/>
            </w14:solidFill>
          </w14:textFill>
        </w:rPr>
        <w:t>部门将</w:t>
      </w:r>
      <w:r>
        <w:rPr>
          <w:rFonts w:hint="eastAsia" w:ascii="Times New Roman" w:hAnsi="Times New Roman" w:eastAsia="仿宋_GB2312"/>
          <w:color w:val="000000" w:themeColor="text1"/>
          <w:sz w:val="32"/>
          <w:szCs w:val="32"/>
          <w14:textFill>
            <w14:solidFill>
              <w14:schemeClr w14:val="tx1"/>
            </w14:solidFill>
          </w14:textFill>
        </w:rPr>
        <w:t>乙方和相关人员纳入医保领域失信名单，并按相关规定进行处理。</w:t>
      </w:r>
    </w:p>
    <w:p w14:paraId="115E5F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五十九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乙方违反</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中华人民共和国社会保险法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医疗保障基金使用监督管理条例</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等相关法律法规或违反医保协议约定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依法应当给予行政处罚的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甲方应移交同级医疗保障行政部门处理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乙方或乙方相关人员被追究行政、刑事责任的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不影响乙方按照本协议约定承担违约责任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73577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C00000"/>
          <w:spacing w:val="0"/>
          <w:sz w:val="32"/>
          <w:szCs w:val="32"/>
          <w:lang w:eastAsia="zh-CN"/>
        </w:rPr>
      </w:pPr>
      <w:r>
        <w:rPr>
          <w:rFonts w:ascii="Times New Roman" w:hAnsi="Times New Roman" w:eastAsia="黑体"/>
          <w:sz w:val="32"/>
        </w:rPr>
        <w:t>第六十条</w:t>
      </w:r>
      <w:r>
        <w:rPr>
          <w:rFonts w:hint="eastAsia" w:ascii="Times New Roman" w:hAnsi="Times New Roman" w:eastAsia="黑体"/>
          <w:sz w:val="32"/>
          <w:lang w:val="en-US" w:eastAsia="zh-CN"/>
        </w:rPr>
        <w:t xml:space="preserve">  </w:t>
      </w:r>
      <w:r>
        <w:rPr>
          <w:rFonts w:ascii="Times New Roman" w:hAnsi="Times New Roman" w:eastAsia="仿宋_GB2312"/>
          <w:color w:val="auto"/>
          <w:spacing w:val="0"/>
          <w:sz w:val="32"/>
          <w:szCs w:val="32"/>
          <w:highlight w:val="none"/>
        </w:rPr>
        <w:t>乙方所在</w:t>
      </w:r>
      <w:r>
        <w:rPr>
          <w:rFonts w:hint="eastAsia" w:ascii="Times New Roman" w:hAnsi="Times New Roman" w:eastAsia="仿宋_GB2312"/>
          <w:color w:val="auto"/>
          <w:spacing w:val="0"/>
          <w:sz w:val="32"/>
          <w:szCs w:val="32"/>
          <w:highlight w:val="none"/>
          <w:lang w:eastAsia="zh-CN"/>
        </w:rPr>
        <w:t>辖区医保</w:t>
      </w:r>
      <w:r>
        <w:rPr>
          <w:rFonts w:ascii="Times New Roman" w:hAnsi="Times New Roman" w:eastAsia="仿宋_GB2312"/>
          <w:color w:val="auto"/>
          <w:spacing w:val="0"/>
          <w:sz w:val="32"/>
          <w:szCs w:val="32"/>
          <w:highlight w:val="none"/>
        </w:rPr>
        <w:t>经办机构与</w:t>
      </w:r>
      <w:r>
        <w:rPr>
          <w:rFonts w:ascii="Times New Roman" w:hAnsi="Times New Roman" w:eastAsia="仿宋_GB2312"/>
          <w:color w:val="000000" w:themeColor="text1"/>
          <w:spacing w:val="0"/>
          <w:sz w:val="32"/>
          <w:szCs w:val="32"/>
          <w:highlight w:val="none"/>
          <w14:textFill>
            <w14:solidFill>
              <w14:schemeClr w14:val="tx1"/>
            </w14:solidFill>
          </w14:textFill>
        </w:rPr>
        <w:t>乙方中止或解除医保协议</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乙方在其他地区的医保协议也同时中止或解除</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14:paraId="20E640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甲方或</w:t>
      </w:r>
      <w:r>
        <w:rPr>
          <w:rFonts w:ascii="Times New Roman" w:hAnsi="Times New Roman" w:eastAsia="仿宋_GB2312"/>
          <w:spacing w:val="0"/>
          <w:sz w:val="32"/>
          <w:szCs w:val="32"/>
          <w:highlight w:val="none"/>
        </w:rPr>
        <w:t>乙方及其工作人员违法泄露参保人员个人信息的</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或甲方泄露乙方商业秘密的</w:t>
      </w:r>
      <w:r>
        <w:rPr>
          <w:rFonts w:hint="eastAsia" w:ascii="Times New Roman" w:hAnsi="Times New Roman" w:eastAsia="仿宋_GB2312"/>
          <w:spacing w:val="0"/>
          <w:sz w:val="32"/>
          <w:szCs w:val="32"/>
          <w:highlight w:val="none"/>
          <w:lang w:eastAsia="zh-CN"/>
        </w:rPr>
        <w:t>，</w:t>
      </w:r>
      <w:r>
        <w:rPr>
          <w:rFonts w:ascii="Times New Roman" w:hAnsi="Times New Roman" w:eastAsia="仿宋_GB2312"/>
          <w:spacing w:val="0"/>
          <w:sz w:val="32"/>
          <w:szCs w:val="32"/>
          <w:highlight w:val="none"/>
        </w:rPr>
        <w:t>按有关</w:t>
      </w:r>
      <w:r>
        <w:rPr>
          <w:rFonts w:ascii="Times New Roman" w:hAnsi="Times New Roman" w:eastAsia="仿宋_GB2312"/>
          <w:spacing w:val="0"/>
          <w:sz w:val="32"/>
          <w:szCs w:val="32"/>
        </w:rPr>
        <w:t>法律法规处理</w:t>
      </w:r>
      <w:r>
        <w:rPr>
          <w:rFonts w:hint="eastAsia" w:ascii="Times New Roman" w:hAnsi="Times New Roman" w:eastAsia="仿宋_GB2312"/>
          <w:spacing w:val="0"/>
          <w:sz w:val="32"/>
          <w:szCs w:val="32"/>
          <w:lang w:eastAsia="zh-CN"/>
        </w:rPr>
        <w:t>。</w:t>
      </w:r>
    </w:p>
    <w:p w14:paraId="558C0E2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乙方在中止、终止、解除医保协议期间</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应在其营业场所显著位置进行公告</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并向参保人员解释说明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乙方未公告或解释说明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导致参保人员医药费用不能纳入医保基金支付范围的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相关责任和后果由乙方承担</w:t>
      </w:r>
      <w:r>
        <w:rPr>
          <w:rFonts w:hint="eastAsia" w:ascii="Times New Roman" w:hAnsi="Times New Roman" w:eastAsia="仿宋_GB2312"/>
          <w:spacing w:val="0"/>
          <w:sz w:val="32"/>
          <w:szCs w:val="32"/>
          <w:lang w:eastAsia="zh-CN"/>
        </w:rPr>
        <w:t>。</w:t>
      </w:r>
    </w:p>
    <w:p w14:paraId="578BB9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157CA10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第八章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附</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则</w:t>
      </w:r>
    </w:p>
    <w:p w14:paraId="59F9FFC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p>
    <w:p w14:paraId="233072D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Cs/>
          <w:snapToGrid/>
          <w:color w:val="auto"/>
          <w:kern w:val="0"/>
          <w:sz w:val="32"/>
          <w:szCs w:val="32"/>
          <w:lang w:val="en-US" w:eastAsia="zh-CN" w:bidi="ar-SA"/>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三</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hint="eastAsia" w:ascii="Times New Roman" w:hAnsi="Times New Roman" w:eastAsia="仿宋_GB2312" w:cs="Times New Roman"/>
          <w:bCs/>
          <w:snapToGrid/>
          <w:color w:val="auto"/>
          <w:kern w:val="0"/>
          <w:sz w:val="32"/>
          <w:szCs w:val="32"/>
          <w:lang w:val="en-US" w:eastAsia="zh-CN" w:bidi="ar-SA"/>
        </w:rPr>
        <w:t>原则上由各市、自治州医保经办机构负责组织与医疗机构签订医保协议。</w:t>
      </w:r>
    </w:p>
    <w:p w14:paraId="3FA09E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bCs/>
          <w:snapToGrid/>
          <w:color w:val="auto"/>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第六十四条   </w:t>
      </w:r>
      <w:r>
        <w:rPr>
          <w:rFonts w:hint="eastAsia" w:ascii="Times New Roman" w:hAnsi="Times New Roman" w:eastAsia="仿宋_GB2312" w:cs="Times New Roman"/>
          <w:bCs/>
          <w:snapToGrid/>
          <w:kern w:val="0"/>
          <w:sz w:val="32"/>
          <w:szCs w:val="32"/>
          <w:highlight w:val="none"/>
          <w:lang w:val="en-US" w:eastAsia="zh-CN" w:bidi="ar-SA"/>
        </w:rPr>
        <w:t>为推进医保社会治理，鼓励乙方加强自律管理，在甲方或甲方委托的第三方介入检查前或乙方自查自纠阶段，乙方自查发现的违约行为（骗取医保基金行为除外），主动清退违规费用并提交整改资料的，不再给予其他协议处理。</w:t>
      </w:r>
    </w:p>
    <w:p w14:paraId="7BE934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五</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医保协议履行期间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乙方的名称、法定代表人、企业负责人、实际控制人、注册地址和药械经营范围等重要信息发生变更的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应自有关部门批准之日起30个工作日内向甲方提出变更申请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其他一般信息变更应及时书面告知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同时乙方应在国家医保信息业务编码标准数据库同步变更信息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ABD3F6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乙方变更注册地址的（实际营业地址不变的除外）</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应提前5个工作日告知甲方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甲方暂停医疗保障基金结算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完成变更后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乙方应在规定时限内向甲方提出现场评估申请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经评估符合定点条件的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恢复医疗保障基金结算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不符合定点条件的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5A1447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乙方发生下列情形之一的，甲方不予受理其信息变更：</w:t>
      </w:r>
    </w:p>
    <w:p w14:paraId="3E86D6B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（一）乙方因违法违规违约处于中止协议处理期间的；</w:t>
      </w:r>
    </w:p>
    <w:p w14:paraId="3972301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（二）乙方涉嫌违法违规违约处于</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协议管理核查</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期间的；</w:t>
      </w:r>
    </w:p>
    <w:p w14:paraId="7D6F7E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（三）乙方因违法违规违约被解除协议后，通过变更名称、法定代表人、主要负责人等方式提出变更备案申请的；</w:t>
      </w:r>
    </w:p>
    <w:p w14:paraId="35F7D78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（四）法律法规和规章规定的其他情形。</w:t>
      </w:r>
    </w:p>
    <w:p w14:paraId="23EC546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六</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医保协议履行期间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国家法律法规规章和政策发生调整的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从其规定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针对调整部分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甲乙双方应当按照新规定对本协议进行修订和补充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其效力与本协议等同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19E39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七</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续签应由乙方于医保协议期满前3个月向甲方提出申请或由甲方统一组织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甲方与乙方就医保协议续签事宜进行协商谈判</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双方根据医保协议履行情况和医保绩效考核情况等决定是否续签</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协商一致的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可续签医保协议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未达成一致的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医保协议解除</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A127EB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甲方与定点零售药店续签协议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可依据医保绩效考核结果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建立淘汰机制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5CB4722">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六十八</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仿宋_GB2312" w:hAnsi="仿宋_GB2312" w:eastAsia="仿宋_GB2312"/>
          <w:color w:val="000000" w:themeColor="text1"/>
          <w:sz w:val="32"/>
          <w:szCs w:val="32"/>
          <w14:textFill>
            <w14:solidFill>
              <w14:schemeClr w14:val="tx1"/>
            </w14:solidFill>
          </w14:textFill>
        </w:rPr>
        <w:t>协议履行期内，乙方因停业或歇业等原因</w:t>
      </w:r>
      <w:r>
        <w:rPr>
          <w:rFonts w:ascii="Times New Roman" w:hAnsi="Times New Roman" w:eastAsia="仿宋_GB2312"/>
          <w:color w:val="000000" w:themeColor="text1"/>
          <w:sz w:val="32"/>
          <w:szCs w:val="32"/>
          <w14:textFill>
            <w14:solidFill>
              <w14:schemeClr w14:val="tx1"/>
            </w14:solidFill>
          </w14:textFill>
        </w:rPr>
        <w:t>在30日内向甲方提出中止协议申请，经甲方同意，可以中止协议但中止时间原则上不得超过180日，协议中止超过180日，乙方仍未提出继续履行医保</w:t>
      </w:r>
      <w:r>
        <w:rPr>
          <w:rFonts w:hint="eastAsia" w:ascii="Times New Roman" w:hAnsi="Times New Roman" w:eastAsia="仿宋_GB2312"/>
          <w:color w:val="000000" w:themeColor="text1"/>
          <w:sz w:val="32"/>
          <w:szCs w:val="32"/>
          <w14:textFill>
            <w14:solidFill>
              <w14:schemeClr w14:val="tx1"/>
            </w14:solidFill>
          </w14:textFill>
        </w:rPr>
        <w:t>服务</w:t>
      </w:r>
      <w:r>
        <w:rPr>
          <w:rFonts w:ascii="Times New Roman" w:hAnsi="Times New Roman" w:eastAsia="仿宋_GB2312"/>
          <w:color w:val="000000" w:themeColor="text1"/>
          <w:sz w:val="32"/>
          <w:szCs w:val="32"/>
          <w14:textFill>
            <w14:solidFill>
              <w14:schemeClr w14:val="tx1"/>
            </w14:solidFill>
          </w14:textFill>
        </w:rPr>
        <w:t>协议申请的，原则上本协议自动终止。</w:t>
      </w:r>
    </w:p>
    <w:p w14:paraId="1FA0043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w:t>
      </w:r>
      <w:r>
        <w:rPr>
          <w:rFonts w:hint="eastAsia" w:ascii="Times New Roman" w:hAnsi="Times New Roman" w:eastAsia="黑体"/>
          <w:sz w:val="32"/>
          <w:lang w:val="en-US" w:eastAsia="zh-CN"/>
        </w:rPr>
        <w:t>六十九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有下列情形之一的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终止医保协议</w:t>
      </w:r>
      <w:r>
        <w:rPr>
          <w:rFonts w:hint="eastAsia" w:ascii="Times New Roman" w:hAnsi="Times New Roman" w:eastAsia="仿宋_GB2312"/>
          <w:spacing w:val="0"/>
          <w:sz w:val="32"/>
          <w:szCs w:val="32"/>
          <w:lang w:eastAsia="zh-CN"/>
        </w:rPr>
        <w:t>：</w:t>
      </w:r>
    </w:p>
    <w:p w14:paraId="7324FF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（一）本协议履行期间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乙方不再符合定点零售药店确定的基本条件和评估要求的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BC617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（二）乙方注销药品经营许可证、医疗器械经营许可证或营业执照的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CC153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（三）乙方主动提出解除医保协议且经甲方同意的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DCAC7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（四）超过本协议有效期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甲乙双方就续签医保协议未达成一致的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或乙方未按甲方要求续签医保协议的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在医保协议到期后自动终止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7D68F39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（五）因不可抗力致使医保协议不能履行的</w:t>
      </w:r>
      <w:r>
        <w:rPr>
          <w:rFonts w:hint="eastAsia" w:ascii="Times New Roman" w:hAnsi="Times New Roman" w:eastAsia="仿宋_GB2312"/>
          <w:spacing w:val="0"/>
          <w:sz w:val="32"/>
          <w:szCs w:val="32"/>
          <w:lang w:eastAsia="zh-CN"/>
        </w:rPr>
        <w:t>；</w:t>
      </w:r>
    </w:p>
    <w:p w14:paraId="220F58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（六）法律法规和规章规定的其他情形</w:t>
      </w:r>
      <w:r>
        <w:rPr>
          <w:rFonts w:hint="eastAsia" w:ascii="Times New Roman" w:hAnsi="Times New Roman" w:eastAsia="仿宋_GB2312"/>
          <w:spacing w:val="0"/>
          <w:sz w:val="32"/>
          <w:szCs w:val="32"/>
          <w:lang w:eastAsia="zh-CN"/>
        </w:rPr>
        <w:t>。</w:t>
      </w:r>
    </w:p>
    <w:p w14:paraId="46CCE8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第七十条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乙方整体发生重大变化的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包括但不限于分立、合并、解散清算、经营主体变更等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应在规定时限内告知甲方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611298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乙方股权变动、法定代表人变更、名称变更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但乙方营业执照、药品经营许可证、医疗器械经营许可证未重新申请的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本协议继续有效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由变更后的经营主体继续履约并承继违约责任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变更后的经营主体不能提供变更前与医疗保障基金结算有关的数据、资料的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甲方可拒付或追回相关费用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5196B6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乙方因股权变动、法定代表人变更等注销营业执照、药品经营许可证或医疗器械经营许可证后重新申请的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经营主体须重新申请医保定点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03D8D0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第七十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color w:val="00B050"/>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甲乙双方均应履行医保协议约定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监督对方执行有关法律法规规章及协议履行情况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甲乙双方就医保协议签订、履行、变更和解除发生争议的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可以自行协商解决或者请求同级医疗保障行政部门协调处理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也可提起行政复议或行政诉讼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1824ED1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甲乙双方中止、终止或解除医保协议的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双方应对退费重结等参保人员共同做好善后工作</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乙方终止或解除医保协议后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不得再悬挂定点零售药店标识</w:t>
      </w:r>
      <w:r>
        <w:rPr>
          <w:rFonts w:hint="eastAsia" w:ascii="Times New Roman" w:hAnsi="Times New Roman" w:eastAsia="仿宋_GB2312"/>
          <w:spacing w:val="0"/>
          <w:sz w:val="32"/>
          <w:szCs w:val="32"/>
          <w:lang w:eastAsia="zh-CN"/>
        </w:rPr>
        <w:t>。</w:t>
      </w:r>
    </w:p>
    <w:p w14:paraId="4BB36A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本协议有效期自</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年</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月</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日起</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年</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月</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日止</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协议期满后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因甲方原因未续签协议前</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原协议继续生效</w:t>
      </w:r>
      <w:r>
        <w:rPr>
          <w:rFonts w:hint="eastAsia" w:ascii="Times New Roman" w:hAnsi="Times New Roman" w:eastAsia="仿宋_GB2312"/>
          <w:spacing w:val="0"/>
          <w:sz w:val="32"/>
          <w:szCs w:val="32"/>
          <w:lang w:eastAsia="zh-CN"/>
        </w:rPr>
        <w:t>。</w:t>
      </w:r>
    </w:p>
    <w:p w14:paraId="2E222E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甲乙双方一致确认本协议中记载的双方通信地址和联系方式为双方履行协议、解决协议争议时接收对方文件信函的地址和联系方式</w:t>
      </w:r>
      <w:r>
        <w:rPr>
          <w:rFonts w:hint="eastAsia" w:ascii="Times New Roman" w:hAnsi="Times New Roman" w:eastAsia="仿宋_GB2312"/>
          <w:spacing w:val="0"/>
          <w:sz w:val="32"/>
          <w:szCs w:val="32"/>
          <w:lang w:eastAsia="zh-CN"/>
        </w:rPr>
        <w:t>。</w:t>
      </w:r>
    </w:p>
    <w:p w14:paraId="33688A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本协议相关名词解释参照</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医疗保障基金使用监督管理条例</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释义</w:t>
      </w:r>
      <w:r>
        <w:rPr>
          <w:rFonts w:hint="eastAsia" w:ascii="Times New Roman" w:hAnsi="Times New Roman" w:eastAsia="仿宋_GB2312"/>
          <w:spacing w:val="0"/>
          <w:sz w:val="32"/>
          <w:szCs w:val="32"/>
          <w:lang w:eastAsia="zh-CN"/>
        </w:rPr>
        <w:t>。</w:t>
      </w:r>
    </w:p>
    <w:p w14:paraId="5808DF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spacing w:val="0"/>
          <w:sz w:val="32"/>
          <w:szCs w:val="32"/>
          <w:lang w:eastAsia="zh-CN"/>
        </w:rPr>
      </w:pPr>
    </w:p>
    <w:p w14:paraId="281888A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46ED85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093A78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74CD4E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6D9815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70D65B0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276330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486D06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03FF82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2D030D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bookmarkStart w:id="0" w:name="_GoBack"/>
      <w:bookmarkEnd w:id="0"/>
    </w:p>
    <w:p w14:paraId="08A2A6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14:paraId="7C07217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spacing w:val="0"/>
          <w:sz w:val="32"/>
          <w:szCs w:val="32"/>
          <w:lang w:eastAsia="zh-CN"/>
        </w:rPr>
      </w:pPr>
    </w:p>
    <w:p w14:paraId="47F6D905">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甲方（签章）： </w:t>
      </w:r>
      <w:r>
        <w:rPr>
          <w:rFonts w:ascii="仿宋_GB2312" w:hAnsi="仿宋_GB2312" w:eastAsia="仿宋_GB2312"/>
          <w:sz w:val="32"/>
          <w:szCs w:val="32"/>
        </w:rPr>
        <w:t xml:space="preserve">               </w:t>
      </w:r>
      <w:r>
        <w:rPr>
          <w:rFonts w:hint="eastAsia" w:ascii="仿宋_GB2312" w:hAnsi="仿宋_GB2312" w:eastAsia="仿宋_GB2312"/>
          <w:sz w:val="32"/>
          <w:szCs w:val="32"/>
        </w:rPr>
        <w:t>乙方（签章）</w:t>
      </w:r>
      <w:r>
        <w:rPr>
          <w:rFonts w:ascii="仿宋_GB2312" w:hAnsi="仿宋_GB2312" w:eastAsia="仿宋_GB2312"/>
          <w:sz w:val="32"/>
          <w:szCs w:val="32"/>
        </w:rPr>
        <w:t>：</w:t>
      </w:r>
    </w:p>
    <w:p w14:paraId="31CDA95D">
      <w:pPr>
        <w:pStyle w:val="2"/>
        <w:keepNext w:val="0"/>
        <w:keepLines w:val="0"/>
        <w:pageBreakBefore w:val="0"/>
        <w:kinsoku/>
        <w:wordWrap/>
        <w:overflowPunct/>
        <w:topLinePunct w:val="0"/>
        <w:bidi w:val="0"/>
        <w:adjustRightInd w:val="0"/>
        <w:snapToGrid w:val="0"/>
        <w:rPr>
          <w:rFonts w:ascii="仿宋_GB2312" w:hAnsi="仿宋_GB2312" w:eastAsia="仿宋_GB2312"/>
          <w:sz w:val="32"/>
          <w:szCs w:val="32"/>
        </w:rPr>
      </w:pPr>
    </w:p>
    <w:p w14:paraId="74C7ECE6">
      <w:pPr>
        <w:pStyle w:val="2"/>
        <w:keepNext w:val="0"/>
        <w:keepLines w:val="0"/>
        <w:pageBreakBefore w:val="0"/>
        <w:kinsoku/>
        <w:wordWrap/>
        <w:overflowPunct/>
        <w:topLinePunct w:val="0"/>
        <w:bidi w:val="0"/>
        <w:adjustRightInd w:val="0"/>
        <w:snapToGrid w:val="0"/>
        <w:rPr>
          <w:rFonts w:ascii="仿宋_GB2312" w:hAnsi="仿宋_GB2312" w:eastAsia="仿宋_GB2312"/>
          <w:sz w:val="32"/>
          <w:szCs w:val="32"/>
        </w:rPr>
      </w:pPr>
    </w:p>
    <w:p w14:paraId="40CB6164">
      <w:pPr>
        <w:pStyle w:val="2"/>
        <w:keepNext w:val="0"/>
        <w:keepLines w:val="0"/>
        <w:pageBreakBefore w:val="0"/>
        <w:kinsoku/>
        <w:wordWrap/>
        <w:overflowPunct/>
        <w:topLinePunct w:val="0"/>
        <w:bidi w:val="0"/>
        <w:adjustRightInd w:val="0"/>
        <w:snapToGrid w:val="0"/>
        <w:rPr>
          <w:rFonts w:ascii="仿宋_GB2312" w:hAnsi="仿宋_GB2312" w:eastAsia="仿宋_GB2312"/>
          <w:sz w:val="32"/>
          <w:szCs w:val="32"/>
        </w:rPr>
      </w:pPr>
    </w:p>
    <w:p w14:paraId="5B5A77D1">
      <w:pPr>
        <w:pStyle w:val="2"/>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lang w:val="en-US" w:eastAsia="zh-CN"/>
        </w:rPr>
      </w:pPr>
    </w:p>
    <w:p w14:paraId="31927D5C">
      <w:pPr>
        <w:pStyle w:val="4"/>
        <w:keepNext w:val="0"/>
        <w:keepLines w:val="0"/>
        <w:pageBreakBefore w:val="0"/>
        <w:widowControl w:val="0"/>
        <w:kinsoku/>
        <w:wordWrap/>
        <w:overflowPunct/>
        <w:topLinePunct w:val="0"/>
        <w:bidi w:val="0"/>
        <w:adjustRightInd w:val="0"/>
        <w:snapToGrid w:val="0"/>
        <w:spacing w:line="560" w:lineRule="exact"/>
        <w:ind w:right="0"/>
        <w:rPr>
          <w:rFonts w:hint="eastAsia" w:ascii="仿宋_GB2312" w:hAnsi="仿宋_GB2312" w:eastAsia="仿宋_GB2312"/>
          <w:w w:val="80"/>
          <w:sz w:val="32"/>
          <w:szCs w:val="32"/>
        </w:rPr>
      </w:pPr>
      <w:r>
        <w:rPr>
          <w:rFonts w:hint="eastAsia" w:ascii="仿宋_GB2312" w:hAnsi="仿宋_GB2312" w:eastAsia="仿宋_GB2312"/>
          <w:w w:val="80"/>
          <w:sz w:val="32"/>
          <w:szCs w:val="32"/>
        </w:rPr>
        <w:t xml:space="preserve">法定代表人或委托代理人（签名）： </w:t>
      </w:r>
      <w:r>
        <w:rPr>
          <w:rFonts w:ascii="仿宋_GB2312" w:hAnsi="仿宋_GB2312" w:eastAsia="仿宋_GB2312"/>
          <w:w w:val="80"/>
          <w:sz w:val="32"/>
          <w:szCs w:val="32"/>
        </w:rPr>
        <w:t xml:space="preserve"> </w:t>
      </w:r>
      <w:r>
        <w:rPr>
          <w:rFonts w:hint="eastAsia" w:ascii="仿宋_GB2312" w:hAnsi="仿宋_GB2312" w:eastAsia="仿宋_GB2312"/>
          <w:w w:val="80"/>
          <w:sz w:val="32"/>
          <w:szCs w:val="32"/>
        </w:rPr>
        <w:t>法定代表人或委托代理人</w:t>
      </w:r>
      <w:r>
        <w:rPr>
          <w:rFonts w:ascii="仿宋_GB2312" w:hAnsi="仿宋_GB2312" w:eastAsia="仿宋_GB2312"/>
          <w:w w:val="80"/>
          <w:sz w:val="32"/>
          <w:szCs w:val="32"/>
        </w:rPr>
        <w:t>（</w:t>
      </w:r>
      <w:r>
        <w:rPr>
          <w:rFonts w:hint="eastAsia" w:ascii="仿宋_GB2312" w:hAnsi="仿宋_GB2312" w:eastAsia="仿宋_GB2312"/>
          <w:w w:val="80"/>
          <w:sz w:val="32"/>
          <w:szCs w:val="32"/>
        </w:rPr>
        <w:t>签名）：</w:t>
      </w:r>
    </w:p>
    <w:p w14:paraId="77B867A3">
      <w:pPr>
        <w:pStyle w:val="4"/>
        <w:keepNext w:val="0"/>
        <w:keepLines w:val="0"/>
        <w:pageBreakBefore w:val="0"/>
        <w:widowControl w:val="0"/>
        <w:kinsoku/>
        <w:wordWrap/>
        <w:overflowPunct/>
        <w:topLinePunct w:val="0"/>
        <w:bidi w:val="0"/>
        <w:adjustRightInd w:val="0"/>
        <w:snapToGrid w:val="0"/>
        <w:spacing w:line="560" w:lineRule="exact"/>
        <w:ind w:right="0"/>
        <w:rPr>
          <w:rFonts w:hint="eastAsia" w:ascii="仿宋_GB2312" w:hAnsi="仿宋_GB2312" w:eastAsia="仿宋_GB2312"/>
          <w:w w:val="80"/>
          <w:sz w:val="32"/>
          <w:szCs w:val="32"/>
        </w:rPr>
      </w:pPr>
    </w:p>
    <w:p w14:paraId="7CE531FB">
      <w:pPr>
        <w:pStyle w:val="4"/>
        <w:keepNext w:val="0"/>
        <w:keepLines w:val="0"/>
        <w:pageBreakBefore w:val="0"/>
        <w:widowControl w:val="0"/>
        <w:kinsoku/>
        <w:wordWrap/>
        <w:overflowPunct/>
        <w:topLinePunct w:val="0"/>
        <w:bidi w:val="0"/>
        <w:adjustRightInd w:val="0"/>
        <w:snapToGrid w:val="0"/>
        <w:spacing w:line="560" w:lineRule="exact"/>
        <w:ind w:right="0"/>
        <w:rPr>
          <w:rFonts w:hint="eastAsia" w:ascii="仿宋_GB2312" w:hAnsi="仿宋_GB2312" w:eastAsia="仿宋_GB2312"/>
          <w:w w:val="80"/>
          <w:sz w:val="32"/>
          <w:szCs w:val="32"/>
        </w:rPr>
      </w:pPr>
    </w:p>
    <w:p w14:paraId="431F6150">
      <w:pPr>
        <w:pStyle w:val="4"/>
        <w:keepNext w:val="0"/>
        <w:keepLines w:val="0"/>
        <w:pageBreakBefore w:val="0"/>
        <w:widowControl w:val="0"/>
        <w:kinsoku/>
        <w:wordWrap/>
        <w:overflowPunct/>
        <w:topLinePunct w:val="0"/>
        <w:bidi w:val="0"/>
        <w:adjustRightInd w:val="0"/>
        <w:snapToGrid w:val="0"/>
        <w:spacing w:line="560" w:lineRule="exact"/>
        <w:ind w:left="0" w:right="0" w:firstLine="512" w:firstLineChars="200"/>
        <w:rPr>
          <w:rFonts w:hint="eastAsia" w:ascii="仿宋_GB2312" w:hAnsi="仿宋_GB2312" w:eastAsia="仿宋_GB2312"/>
          <w:w w:val="80"/>
          <w:sz w:val="32"/>
          <w:szCs w:val="32"/>
        </w:rPr>
      </w:pPr>
    </w:p>
    <w:p w14:paraId="296E7CBD">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Times New Roman" w:hAnsi="Times New Roman" w:eastAsia="仿宋_GB2312"/>
          <w:spacing w:val="0"/>
          <w:sz w:val="32"/>
          <w:szCs w:val="32"/>
        </w:rPr>
        <w:sectPr>
          <w:footerReference r:id="rId10" w:type="default"/>
          <w:pgSz w:w="11906" w:h="16838"/>
          <w:pgMar w:top="2098" w:right="1474" w:bottom="1984" w:left="1587" w:header="0" w:footer="1422" w:gutter="0"/>
          <w:pgNumType w:fmt="numberInDash" w:start="1"/>
          <w:cols w:space="720" w:num="1"/>
        </w:sectPr>
      </w:pPr>
      <w:r>
        <w:rPr>
          <w:rFonts w:hint="eastAsia" w:ascii="仿宋_GB2312" w:hAnsi="仿宋_GB2312" w:eastAsia="仿宋_GB2312"/>
          <w:sz w:val="32"/>
          <w:szCs w:val="32"/>
        </w:rPr>
        <w:t>年   月   日                  年   月   日</w:t>
      </w:r>
    </w:p>
    <w:p w14:paraId="44BEC0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7A7882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2F2172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p>
    <w:p w14:paraId="122871B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承诺书</w:t>
      </w:r>
    </w:p>
    <w:p w14:paraId="4BE5E90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spacing w:val="0"/>
          <w:sz w:val="44"/>
          <w:szCs w:val="44"/>
        </w:rPr>
      </w:pPr>
    </w:p>
    <w:p w14:paraId="11A08AF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本机构承诺</w:t>
      </w:r>
      <w:r>
        <w:rPr>
          <w:rFonts w:hint="eastAsia" w:ascii="Times New Roman" w:hAnsi="Times New Roman" w:eastAsia="仿宋_GB2312"/>
          <w:spacing w:val="0"/>
          <w:sz w:val="32"/>
          <w:szCs w:val="32"/>
          <w:lang w:eastAsia="zh-CN"/>
        </w:rPr>
        <w:t>：</w:t>
      </w:r>
    </w:p>
    <w:p w14:paraId="6390FD7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本机构向</w:t>
      </w:r>
      <w:r>
        <w:rPr>
          <w:rFonts w:hint="default" w:ascii="Times New Roman" w:hAnsi="Times New Roman" w:eastAsia="仿宋_GB2312"/>
          <w:spacing w:val="0"/>
          <w:sz w:val="32"/>
          <w:szCs w:val="32"/>
          <w:lang w:val="en-US"/>
        </w:rPr>
        <w:t>_____________________</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甲方全称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提供的</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（材料名称）均真实、合法、有效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如有不实之处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愿按照与</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（甲方全称）签订的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定点零售药店医疗保障服务协议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承担相应的违约责任</w:t>
      </w:r>
      <w:r>
        <w:rPr>
          <w:rFonts w:hint="eastAsia" w:ascii="Times New Roman" w:hAnsi="Times New Roman" w:eastAsia="仿宋_GB2312"/>
          <w:spacing w:val="0"/>
          <w:sz w:val="32"/>
          <w:szCs w:val="32"/>
          <w:lang w:eastAsia="zh-CN"/>
        </w:rPr>
        <w:t>。</w:t>
      </w:r>
    </w:p>
    <w:p w14:paraId="041E2D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特此声明</w:t>
      </w:r>
      <w:r>
        <w:rPr>
          <w:rFonts w:hint="eastAsia" w:ascii="Times New Roman" w:hAnsi="Times New Roman" w:eastAsia="仿宋_GB2312"/>
          <w:spacing w:val="0"/>
          <w:sz w:val="32"/>
          <w:szCs w:val="32"/>
          <w:lang w:eastAsia="zh-CN"/>
        </w:rPr>
        <w:t>！</w:t>
      </w:r>
    </w:p>
    <w:p w14:paraId="634067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7A69FC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3D5274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5440" w:firstLineChars="17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单位盖章</w:t>
      </w:r>
      <w:r>
        <w:rPr>
          <w:rFonts w:hint="eastAsia" w:ascii="Times New Roman" w:hAnsi="Times New Roman" w:eastAsia="仿宋_GB2312"/>
          <w:spacing w:val="0"/>
          <w:sz w:val="32"/>
          <w:szCs w:val="32"/>
          <w:lang w:eastAsia="zh-CN"/>
        </w:rPr>
        <w:t>：</w:t>
      </w:r>
    </w:p>
    <w:p w14:paraId="107833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40" w:firstLineChars="1700"/>
        <w:textAlignment w:val="baseline"/>
        <w:rPr>
          <w:rFonts w:ascii="Arial"/>
          <w:sz w:val="21"/>
        </w:rPr>
      </w:pPr>
      <w:r>
        <w:rPr>
          <w:rFonts w:ascii="Times New Roman" w:hAnsi="Times New Roman" w:eastAsia="仿宋_GB2312"/>
          <w:spacing w:val="0"/>
          <w:sz w:val="32"/>
          <w:szCs w:val="32"/>
        </w:rPr>
        <w:t>日</w:t>
      </w:r>
      <w:r>
        <w:rPr>
          <w:rFonts w:hint="default" w:ascii="Times New Roman" w:hAnsi="Times New Roman" w:eastAsia="仿宋_GB2312"/>
          <w:spacing w:val="0"/>
          <w:sz w:val="32"/>
          <w:szCs w:val="32"/>
          <w:lang w:val="en-US"/>
        </w:rPr>
        <w:t xml:space="preserve">    </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期</w:t>
      </w:r>
      <w:r>
        <w:rPr>
          <w:rFonts w:hint="eastAsia" w:ascii="Times New Roman" w:hAnsi="Times New Roman" w:eastAsia="仿宋_GB2312"/>
          <w:spacing w:val="0"/>
          <w:sz w:val="32"/>
          <w:szCs w:val="32"/>
          <w:lang w:eastAsia="zh-CN"/>
        </w:rPr>
        <w:t>：</w:t>
      </w:r>
    </w:p>
    <w:p w14:paraId="49F6EE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ascii="Arial"/>
          <w:sz w:val="21"/>
        </w:rPr>
      </w:pPr>
    </w:p>
    <w:sectPr>
      <w:headerReference r:id="rId11" w:type="default"/>
      <w:footerReference r:id="rId13" w:type="default"/>
      <w:headerReference r:id="rId12" w:type="even"/>
      <w:footerReference r:id="rId14" w:type="even"/>
      <w:pgSz w:w="11906" w:h="16838"/>
      <w:pgMar w:top="2098" w:right="1474" w:bottom="1984"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D509">
    <w:pPr>
      <w:pStyle w:val="5"/>
      <w:spacing w:line="295" w:lineRule="exact"/>
      <w:ind w:left="7280"/>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C6F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4FE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4B19">
    <w:pPr>
      <w:pStyle w:val="5"/>
      <w:spacing w:line="295" w:lineRule="exact"/>
      <w:ind w:left="7280"/>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392F">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9A392F">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273C">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0D4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4EC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192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72F8">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ABA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16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3A1BFE"/>
    <w:rsid w:val="0A656981"/>
    <w:rsid w:val="0E152A6B"/>
    <w:rsid w:val="10FACBE4"/>
    <w:rsid w:val="11723BD6"/>
    <w:rsid w:val="127173E9"/>
    <w:rsid w:val="13875796"/>
    <w:rsid w:val="15B060B7"/>
    <w:rsid w:val="17B80644"/>
    <w:rsid w:val="1A010364"/>
    <w:rsid w:val="1A35081E"/>
    <w:rsid w:val="1A5135D9"/>
    <w:rsid w:val="1A9053CB"/>
    <w:rsid w:val="1D3A5196"/>
    <w:rsid w:val="1F0A4F08"/>
    <w:rsid w:val="1F38196C"/>
    <w:rsid w:val="1FAB6973"/>
    <w:rsid w:val="1FDB10AE"/>
    <w:rsid w:val="1FFF7352"/>
    <w:rsid w:val="225D2CE7"/>
    <w:rsid w:val="22BD5C45"/>
    <w:rsid w:val="23E90116"/>
    <w:rsid w:val="245340EB"/>
    <w:rsid w:val="248B77A9"/>
    <w:rsid w:val="274653D0"/>
    <w:rsid w:val="27CF6EB0"/>
    <w:rsid w:val="2A4552D4"/>
    <w:rsid w:val="2C750454"/>
    <w:rsid w:val="2D1E0D96"/>
    <w:rsid w:val="2F5718B2"/>
    <w:rsid w:val="30526A2C"/>
    <w:rsid w:val="33E54DB7"/>
    <w:rsid w:val="3451293C"/>
    <w:rsid w:val="35595465"/>
    <w:rsid w:val="3588765A"/>
    <w:rsid w:val="38134EE0"/>
    <w:rsid w:val="381B2112"/>
    <w:rsid w:val="3837FA3A"/>
    <w:rsid w:val="3A906768"/>
    <w:rsid w:val="3B261C25"/>
    <w:rsid w:val="3BF7E259"/>
    <w:rsid w:val="3C456A09"/>
    <w:rsid w:val="3CF985C1"/>
    <w:rsid w:val="3EAA07B1"/>
    <w:rsid w:val="3F981E31"/>
    <w:rsid w:val="403536BA"/>
    <w:rsid w:val="44FE2747"/>
    <w:rsid w:val="46F7413F"/>
    <w:rsid w:val="492542FE"/>
    <w:rsid w:val="494C4A96"/>
    <w:rsid w:val="4A51360A"/>
    <w:rsid w:val="4BF141F8"/>
    <w:rsid w:val="4CFD135C"/>
    <w:rsid w:val="4FD801DF"/>
    <w:rsid w:val="50F82988"/>
    <w:rsid w:val="510928C2"/>
    <w:rsid w:val="547F6BE5"/>
    <w:rsid w:val="5668306E"/>
    <w:rsid w:val="56F77D0D"/>
    <w:rsid w:val="57600611"/>
    <w:rsid w:val="57887007"/>
    <w:rsid w:val="58136BF6"/>
    <w:rsid w:val="59695012"/>
    <w:rsid w:val="5A866C90"/>
    <w:rsid w:val="5B7F9444"/>
    <w:rsid w:val="5FFBD0B7"/>
    <w:rsid w:val="617A627F"/>
    <w:rsid w:val="65BF69C1"/>
    <w:rsid w:val="66D66E63"/>
    <w:rsid w:val="6E3370FC"/>
    <w:rsid w:val="6E6864C1"/>
    <w:rsid w:val="6E7B437E"/>
    <w:rsid w:val="6EB77FC0"/>
    <w:rsid w:val="743C31BD"/>
    <w:rsid w:val="75F53ACE"/>
    <w:rsid w:val="77C00C70"/>
    <w:rsid w:val="787B4617"/>
    <w:rsid w:val="78EE6DFD"/>
    <w:rsid w:val="7A802899"/>
    <w:rsid w:val="7B3F1C9E"/>
    <w:rsid w:val="7B7B9B9E"/>
    <w:rsid w:val="7C63693D"/>
    <w:rsid w:val="7D103E68"/>
    <w:rsid w:val="7F34113A"/>
    <w:rsid w:val="7FEFB254"/>
    <w:rsid w:val="B1CDC600"/>
    <w:rsid w:val="B5BD35A5"/>
    <w:rsid w:val="CF9BBF19"/>
    <w:rsid w:val="E73723A1"/>
    <w:rsid w:val="ED7FA50A"/>
    <w:rsid w:val="EEAF680C"/>
    <w:rsid w:val="EFF7ADE0"/>
    <w:rsid w:val="FDCB8AE8"/>
    <w:rsid w:val="FF973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adjustRightInd w:val="0"/>
      <w:snapToGrid w:val="0"/>
      <w:spacing w:before="93" w:beforeLines="30" w:after="93" w:afterLines="30" w:line="600" w:lineRule="exact"/>
      <w:ind w:right="28"/>
      <w:jc w:val="center"/>
      <w:outlineLvl w:val="1"/>
    </w:pPr>
    <w:rPr>
      <w:rFonts w:ascii="黑体" w:eastAsia="黑体"/>
      <w:bCs/>
      <w:kern w:val="0"/>
      <w:sz w:val="32"/>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 w:val="32"/>
      <w:szCs w:val="32"/>
    </w:rPr>
  </w:style>
  <w:style w:type="paragraph" w:styleId="4">
    <w:name w:val="annotation text"/>
    <w:basedOn w:val="1"/>
    <w:qFormat/>
    <w:uiPriority w:val="0"/>
    <w:pPr>
      <w:jc w:val="left"/>
    </w:pPr>
  </w:style>
  <w:style w:type="paragraph" w:styleId="5">
    <w:name w:val="Body Text"/>
    <w:basedOn w:val="1"/>
    <w:qFormat/>
    <w:uiPriority w:val="0"/>
    <w:rPr>
      <w:rFonts w:ascii="微软雅黑" w:hAnsi="微软雅黑" w:eastAsia="微软雅黑" w:cs="微软雅黑"/>
      <w:sz w:val="29"/>
      <w:szCs w:val="29"/>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条款"/>
    <w:basedOn w:val="1"/>
    <w:qFormat/>
    <w:uiPriority w:val="0"/>
    <w:pPr>
      <w:tabs>
        <w:tab w:val="left" w:pos="1838"/>
      </w:tabs>
      <w:adjustRightInd w:val="0"/>
      <w:snapToGrid w:val="0"/>
      <w:spacing w:line="550" w:lineRule="exact"/>
      <w:ind w:left="0" w:firstLine="680"/>
    </w:pPr>
    <w:rPr>
      <w:rFonts w:ascii="仿宋_GB2312" w:eastAsia="仿宋_GB2312"/>
      <w:color w:val="000000"/>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17237</Words>
  <Characters>17325</Characters>
  <Paragraphs>601</Paragraphs>
  <TotalTime>10</TotalTime>
  <ScaleCrop>false</ScaleCrop>
  <LinksUpToDate>false</LinksUpToDate>
  <CharactersWithSpaces>18087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2024-12-04T06:44:00Z</dcterms:created>
  <dc:creator>作者</dc:creator>
  <cp:keywords>关键字</cp:keywords>
  <cp:lastModifiedBy>123WR</cp:lastModifiedBy>
  <cp:lastPrinted>2025-02-28T06:36:00Z</cp:lastPrinted>
  <dcterms:modified xsi:type="dcterms:W3CDTF">2025-12-30T06:59:41Z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2A15F3BA106B4280952FC0895CF71A5B_13</vt:lpwstr>
  </property>
  <property fmtid="{D5CDD505-2E9C-101B-9397-08002B2CF9AE}" pid="4" name="KSOProductBuildVer">
    <vt:lpwstr>2052-12.1.0.24034</vt:lpwstr>
  </property>
  <property fmtid="{D5CDD505-2E9C-101B-9397-08002B2CF9AE}" pid="5" name="KSOTemplateDocerSaveRecord">
    <vt:lpwstr>eyJoZGlkIjoiNzU4MzlmMzZjYjZkOGE5MmU1MjhkNDQyMGEwZTM5MzQiLCJ1c2VySWQiOiI2OTA3MzkyMDEifQ==</vt:lpwstr>
  </property>
</Properties>
</file>