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55EB433">
      <w:pPr>
        <w:jc w:val="center"/>
        <w:rPr>
          <w:b/>
          <w:bCs/>
          <w:sz w:val="44"/>
          <w:szCs w:val="44"/>
        </w:rPr>
      </w:pPr>
      <w:r>
        <w:rPr>
          <w:b/>
          <w:bCs/>
          <w:sz w:val="44"/>
          <w:szCs w:val="44"/>
        </w:rPr>
        <w:t>青海省</w:t>
      </w:r>
      <w:r>
        <w:rPr>
          <w:rFonts w:hint="default"/>
          <w:b/>
          <w:bCs/>
          <w:sz w:val="44"/>
          <w:szCs w:val="44"/>
        </w:rPr>
        <w:t>非免疫规划疫苗集中采购</w:t>
      </w:r>
      <w:r>
        <w:rPr>
          <w:b/>
          <w:bCs/>
          <w:sz w:val="44"/>
          <w:szCs w:val="44"/>
        </w:rPr>
        <w:t>平台</w:t>
      </w:r>
      <w:r>
        <w:rPr>
          <w:rFonts w:hint="eastAsia"/>
          <w:b/>
          <w:bCs/>
          <w:sz w:val="44"/>
          <w:szCs w:val="44"/>
        </w:rPr>
        <w:t>用户使用手册</w:t>
      </w:r>
    </w:p>
    <w:p w14:paraId="08CAE8C4">
      <w:pPr>
        <w:spacing w:line="720" w:lineRule="auto"/>
        <w:jc w:val="center"/>
        <w:rPr>
          <w:rFonts w:ascii="黑体" w:hAnsi="黑体" w:eastAsia="黑体"/>
          <w:b/>
          <w:sz w:val="52"/>
          <w:szCs w:val="52"/>
        </w:rPr>
      </w:pPr>
    </w:p>
    <w:p w14:paraId="59609867">
      <w:pPr>
        <w:pStyle w:val="22"/>
        <w:numPr>
          <w:ilvl w:val="0"/>
          <w:numId w:val="4"/>
        </w:numPr>
        <w:ind w:firstLineChars="0"/>
        <w:outlineLvl w:val="0"/>
        <w:rPr>
          <w:b/>
          <w:bCs/>
        </w:rPr>
      </w:pPr>
      <w:r>
        <w:rPr>
          <w:rFonts w:hint="eastAsia"/>
          <w:b/>
          <w:bCs/>
        </w:rPr>
        <w:t>用户注册与登录</w:t>
      </w:r>
    </w:p>
    <w:p w14:paraId="3882A583">
      <w:pPr>
        <w:ind w:firstLine="420" w:firstLineChars="200"/>
        <w:outlineLvl w:val="0"/>
        <w:rPr>
          <w:rFonts w:hint="eastAsia"/>
        </w:rPr>
      </w:pPr>
      <w:r>
        <w:rPr>
          <w:rFonts w:hint="default"/>
        </w:rPr>
        <w:t>登录青海省药械集中采购网（http://ybj.qinghai.gov.cn/yaoxiejzcgnet/）“青海省非免疫规划疫苗集中采购</w:t>
      </w:r>
      <w:r>
        <w:rPr>
          <w:rFonts w:hint="eastAsia"/>
        </w:rPr>
        <w:t>”</w:t>
      </w:r>
      <w:r>
        <w:rPr>
          <w:rFonts w:hint="eastAsia"/>
        </w:rPr>
        <w:t>进入系统</w:t>
      </w:r>
      <w:r>
        <w:rPr>
          <w:rFonts w:hint="eastAsia"/>
        </w:rPr>
        <w:t>，如图1所示。</w:t>
      </w:r>
    </w:p>
    <w:p w14:paraId="54A940E3">
      <w:pPr>
        <w:ind w:firstLine="420" w:firstLineChars="200"/>
        <w:jc w:val="center"/>
      </w:pPr>
      <w:r>
        <w:drawing>
          <wp:inline distT="0" distB="0" distL="114300" distR="114300">
            <wp:extent cx="5263515" cy="238633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263515" cy="2386330"/>
                    </a:xfrm>
                    <a:prstGeom prst="rect">
                      <a:avLst/>
                    </a:prstGeom>
                    <a:noFill/>
                    <a:ln w="9525">
                      <a:noFill/>
                    </a:ln>
                  </pic:spPr>
                </pic:pic>
              </a:graphicData>
            </a:graphic>
          </wp:inline>
        </w:drawing>
      </w:r>
      <w:bookmarkStart w:id="0" w:name="_GoBack"/>
      <w:bookmarkEnd w:id="0"/>
    </w:p>
    <w:p w14:paraId="4752CED2">
      <w:pPr>
        <w:ind w:firstLine="420" w:firstLineChars="200"/>
        <w:jc w:val="center"/>
      </w:pPr>
      <w:r>
        <w:rPr>
          <w:rFonts w:hint="eastAsia"/>
        </w:rPr>
        <w:t>图1</w:t>
      </w:r>
    </w:p>
    <w:p w14:paraId="5C6F7F98">
      <w:pPr>
        <w:outlineLvl w:val="1"/>
        <w:rPr>
          <w:b/>
          <w:bCs/>
        </w:rPr>
      </w:pPr>
      <w:r>
        <w:rPr>
          <w:rFonts w:hint="eastAsia"/>
          <w:b/>
          <w:bCs/>
        </w:rPr>
        <w:t>1.1、系统注册</w:t>
      </w:r>
    </w:p>
    <w:p w14:paraId="47A5D8CB">
      <w:pPr>
        <w:ind w:firstLine="420" w:firstLineChars="200"/>
        <w:rPr>
          <w:b/>
          <w:bCs/>
          <w:color w:val="FF0000"/>
        </w:rPr>
      </w:pPr>
      <w:r>
        <w:rPr>
          <w:rFonts w:hint="eastAsia"/>
        </w:rPr>
        <w:t>点击图1上的“注册”按钮，进入注册页面（图2），在注册页面上选择注册机构类型按照要求填写对应注册信息及上传相关资质信息，点击“注册”按钮完成用户的注册操作。</w:t>
      </w:r>
      <w:r>
        <w:rPr>
          <w:rFonts w:hint="eastAsia"/>
          <w:b/>
          <w:bCs/>
          <w:color w:val="FF0000"/>
        </w:rPr>
        <w:t>注：1.被授权身份证件第一张上传人像面，第二张上传国徽面；</w:t>
      </w:r>
    </w:p>
    <w:p w14:paraId="237B54A5">
      <w:pPr>
        <w:ind w:firstLine="422" w:firstLineChars="200"/>
        <w:rPr>
          <w:b/>
          <w:bCs/>
          <w:color w:val="FF0000"/>
        </w:rPr>
      </w:pPr>
      <w:r>
        <w:rPr>
          <w:rFonts w:hint="eastAsia"/>
          <w:b/>
          <w:bCs/>
          <w:color w:val="FF0000"/>
        </w:rPr>
        <w:t>2.营业执照第一张上传正本，第二张上传副本；</w:t>
      </w:r>
    </w:p>
    <w:p w14:paraId="34E33A3D">
      <w:pPr>
        <w:ind w:firstLine="422" w:firstLineChars="200"/>
        <w:rPr>
          <w:b/>
          <w:bCs/>
          <w:color w:val="FF0000"/>
        </w:rPr>
      </w:pPr>
      <w:r>
        <w:rPr>
          <w:rFonts w:hint="eastAsia"/>
          <w:b/>
          <w:bCs/>
          <w:color w:val="FF0000"/>
        </w:rPr>
        <w:t>3.同一统一社会信用代码仅可注册三种类型的企业身份，具体如下：</w:t>
      </w:r>
    </w:p>
    <w:p w14:paraId="7C122917">
      <w:pPr>
        <w:ind w:firstLine="422" w:firstLineChars="200"/>
        <w:rPr>
          <w:b/>
          <w:bCs/>
          <w:color w:val="FF0000"/>
        </w:rPr>
      </w:pPr>
      <w:r>
        <w:rPr>
          <w:rFonts w:hint="eastAsia"/>
          <w:b/>
          <w:bCs/>
          <w:color w:val="FF0000"/>
        </w:rPr>
        <w:t>3.1生产企业、配送企业；</w:t>
      </w:r>
    </w:p>
    <w:p w14:paraId="003C0990">
      <w:pPr>
        <w:ind w:firstLine="422" w:firstLineChars="200"/>
        <w:rPr>
          <w:b/>
          <w:bCs/>
          <w:color w:val="FF0000"/>
        </w:rPr>
      </w:pPr>
      <w:r>
        <w:rPr>
          <w:rFonts w:hint="eastAsia"/>
          <w:b/>
          <w:bCs/>
          <w:color w:val="FF0000"/>
        </w:rPr>
        <w:t>3.2经营企业、配送企业；</w:t>
      </w:r>
    </w:p>
    <w:p w14:paraId="451B01E6">
      <w:pPr>
        <w:ind w:firstLine="422" w:firstLineChars="200"/>
        <w:rPr>
          <w:b/>
          <w:bCs/>
          <w:color w:val="FF0000"/>
        </w:rPr>
      </w:pPr>
      <w:r>
        <w:rPr>
          <w:rFonts w:hint="eastAsia"/>
          <w:b/>
          <w:bCs/>
          <w:color w:val="FF0000"/>
        </w:rPr>
        <w:t>3.3生产及经营企业、配送企业。</w:t>
      </w:r>
    </w:p>
    <w:p w14:paraId="66E1957D">
      <w:pPr>
        <w:ind w:firstLine="422" w:firstLineChars="200"/>
        <w:rPr>
          <w:b/>
          <w:bCs/>
          <w:color w:val="FF0000"/>
        </w:rPr>
      </w:pPr>
      <w:r>
        <w:rPr>
          <w:rFonts w:hint="eastAsia"/>
          <w:b/>
          <w:bCs/>
          <w:color w:val="FF0000"/>
        </w:rPr>
        <w:t>4.在注册页面上的“邮箱”请认真填写正确，该邮箱将用于接收注册验证码、密码丢失重置及申报资质审核状态通知等，如填写不正确则影响整体招标采购工作。</w:t>
      </w:r>
    </w:p>
    <w:p w14:paraId="41EE1940">
      <w:pPr>
        <w:ind w:firstLine="422" w:firstLineChars="200"/>
        <w:rPr>
          <w:b/>
          <w:bCs/>
          <w:color w:val="FF0000"/>
        </w:rPr>
      </w:pPr>
      <w:r>
        <w:rPr>
          <w:rFonts w:hint="eastAsia"/>
          <w:b/>
          <w:bCs/>
          <w:color w:val="FF0000"/>
        </w:rPr>
        <w:t>5.注册成功后请牢记提示中的“用户名”及“密码”。</w:t>
      </w:r>
    </w:p>
    <w:p w14:paraId="0F4A8B8C">
      <w:pPr>
        <w:ind w:firstLine="632" w:firstLineChars="300"/>
        <w:rPr>
          <w:b/>
          <w:bCs/>
          <w:color w:val="FF0000"/>
        </w:rPr>
      </w:pPr>
    </w:p>
    <w:p w14:paraId="61D1C4B2">
      <w:r>
        <w:drawing>
          <wp:inline distT="0" distB="0" distL="114300" distR="114300">
            <wp:extent cx="5273040" cy="3253740"/>
            <wp:effectExtent l="0" t="0" r="0" b="762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8" cstate="print"/>
                    <a:stretch>
                      <a:fillRect/>
                    </a:stretch>
                  </pic:blipFill>
                  <pic:spPr>
                    <a:xfrm>
                      <a:off x="0" y="0"/>
                      <a:ext cx="5273040" cy="3253740"/>
                    </a:xfrm>
                    <a:prstGeom prst="rect">
                      <a:avLst/>
                    </a:prstGeom>
                    <a:noFill/>
                    <a:ln>
                      <a:noFill/>
                    </a:ln>
                  </pic:spPr>
                </pic:pic>
              </a:graphicData>
            </a:graphic>
          </wp:inline>
        </w:drawing>
      </w:r>
    </w:p>
    <w:p w14:paraId="4AEAB700">
      <w:pPr>
        <w:jc w:val="center"/>
      </w:pPr>
      <w:r>
        <w:rPr>
          <w:rFonts w:hint="eastAsia"/>
        </w:rPr>
        <w:t>图2</w:t>
      </w:r>
    </w:p>
    <w:p w14:paraId="7380246E">
      <w:pPr>
        <w:outlineLvl w:val="1"/>
        <w:rPr>
          <w:b/>
          <w:bCs/>
        </w:rPr>
      </w:pPr>
      <w:r>
        <w:rPr>
          <w:rFonts w:hint="eastAsia"/>
          <w:b/>
          <w:bCs/>
        </w:rPr>
        <w:t>1.2、忘记密码</w:t>
      </w:r>
    </w:p>
    <w:p w14:paraId="54D6B842">
      <w:pPr>
        <w:ind w:firstLine="420" w:firstLineChars="200"/>
      </w:pPr>
      <w:r>
        <w:rPr>
          <w:rFonts w:hint="eastAsia"/>
        </w:rPr>
        <w:t>如忘记密码请点击图1页面上的“忘记密码”链接进入忘记密码重置页面（如图3所示），输入用户名及验证码点击下一步操作，进入验证页面（图4所示），通过注册时使用的邮箱进行验证，验证通过后输入新的密码（如图5所示）点击下一步完成密码的重置操作（如图6所示）。</w:t>
      </w:r>
    </w:p>
    <w:p w14:paraId="7ADF41FB">
      <w:r>
        <w:drawing>
          <wp:inline distT="0" distB="0" distL="114300" distR="114300">
            <wp:extent cx="5271135" cy="1986915"/>
            <wp:effectExtent l="0" t="0" r="19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5271135" cy="1986915"/>
                    </a:xfrm>
                    <a:prstGeom prst="rect">
                      <a:avLst/>
                    </a:prstGeom>
                    <a:noFill/>
                    <a:ln w="9525">
                      <a:noFill/>
                    </a:ln>
                  </pic:spPr>
                </pic:pic>
              </a:graphicData>
            </a:graphic>
          </wp:inline>
        </w:drawing>
      </w:r>
    </w:p>
    <w:p w14:paraId="64C45C39">
      <w:pPr>
        <w:jc w:val="center"/>
      </w:pPr>
      <w:r>
        <w:rPr>
          <w:rFonts w:hint="eastAsia"/>
        </w:rPr>
        <w:t>图3</w:t>
      </w:r>
    </w:p>
    <w:p w14:paraId="2E12C23D">
      <w:pPr>
        <w:jc w:val="center"/>
      </w:pPr>
      <w:r>
        <w:drawing>
          <wp:inline distT="0" distB="0" distL="114300" distR="114300">
            <wp:extent cx="5268595" cy="2075815"/>
            <wp:effectExtent l="0" t="0" r="444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5268595" cy="2075815"/>
                    </a:xfrm>
                    <a:prstGeom prst="rect">
                      <a:avLst/>
                    </a:prstGeom>
                    <a:noFill/>
                    <a:ln w="9525">
                      <a:noFill/>
                    </a:ln>
                  </pic:spPr>
                </pic:pic>
              </a:graphicData>
            </a:graphic>
          </wp:inline>
        </w:drawing>
      </w:r>
    </w:p>
    <w:p w14:paraId="10A8E3AF">
      <w:pPr>
        <w:jc w:val="center"/>
      </w:pPr>
      <w:r>
        <w:rPr>
          <w:rFonts w:hint="eastAsia"/>
        </w:rPr>
        <w:t>图4</w:t>
      </w:r>
    </w:p>
    <w:p w14:paraId="106780FF">
      <w:pPr>
        <w:jc w:val="center"/>
      </w:pPr>
      <w:r>
        <w:drawing>
          <wp:inline distT="0" distB="0" distL="114300" distR="114300">
            <wp:extent cx="5273040" cy="2276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stretch>
                      <a:fillRect/>
                    </a:stretch>
                  </pic:blipFill>
                  <pic:spPr>
                    <a:xfrm>
                      <a:off x="0" y="0"/>
                      <a:ext cx="5273040" cy="2276475"/>
                    </a:xfrm>
                    <a:prstGeom prst="rect">
                      <a:avLst/>
                    </a:prstGeom>
                    <a:noFill/>
                    <a:ln w="9525">
                      <a:noFill/>
                    </a:ln>
                  </pic:spPr>
                </pic:pic>
              </a:graphicData>
            </a:graphic>
          </wp:inline>
        </w:drawing>
      </w:r>
    </w:p>
    <w:p w14:paraId="72C184CB">
      <w:pPr>
        <w:jc w:val="center"/>
      </w:pPr>
      <w:r>
        <w:rPr>
          <w:rFonts w:hint="eastAsia"/>
        </w:rPr>
        <w:t>图5</w:t>
      </w:r>
    </w:p>
    <w:p w14:paraId="57D2C681">
      <w:pPr>
        <w:jc w:val="center"/>
      </w:pPr>
      <w:r>
        <w:drawing>
          <wp:inline distT="0" distB="0" distL="114300" distR="114300">
            <wp:extent cx="5267325" cy="2591435"/>
            <wp:effectExtent l="0" t="0" r="571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stretch>
                      <a:fillRect/>
                    </a:stretch>
                  </pic:blipFill>
                  <pic:spPr>
                    <a:xfrm>
                      <a:off x="0" y="0"/>
                      <a:ext cx="5267325" cy="2591435"/>
                    </a:xfrm>
                    <a:prstGeom prst="rect">
                      <a:avLst/>
                    </a:prstGeom>
                    <a:noFill/>
                    <a:ln w="9525">
                      <a:noFill/>
                    </a:ln>
                  </pic:spPr>
                </pic:pic>
              </a:graphicData>
            </a:graphic>
          </wp:inline>
        </w:drawing>
      </w:r>
    </w:p>
    <w:p w14:paraId="741E125D">
      <w:pPr>
        <w:jc w:val="center"/>
      </w:pPr>
      <w:r>
        <w:rPr>
          <w:rFonts w:hint="eastAsia"/>
        </w:rPr>
        <w:t>图6</w:t>
      </w:r>
    </w:p>
    <w:p w14:paraId="44D6F16A">
      <w:pPr>
        <w:outlineLvl w:val="1"/>
        <w:rPr>
          <w:b/>
          <w:bCs/>
        </w:rPr>
      </w:pPr>
      <w:r>
        <w:rPr>
          <w:rFonts w:hint="eastAsia"/>
          <w:b/>
          <w:bCs/>
        </w:rPr>
        <w:t>1.3、系统登录</w:t>
      </w:r>
    </w:p>
    <w:p w14:paraId="2EB932BC">
      <w:pPr>
        <w:ind w:firstLine="420" w:firstLineChars="200"/>
      </w:pPr>
      <w:r>
        <w:rPr>
          <w:rFonts w:hint="eastAsia"/>
        </w:rPr>
        <w:t>在（图1）页面输入用户名、密码、验证码点击登录按钮进入系统首页（如图7）。</w:t>
      </w:r>
    </w:p>
    <w:p w14:paraId="254AD54E">
      <w:pPr>
        <w:jc w:val="center"/>
      </w:pPr>
      <w:r>
        <w:drawing>
          <wp:inline distT="0" distB="0" distL="114300" distR="114300">
            <wp:extent cx="5273040" cy="1828800"/>
            <wp:effectExtent l="0" t="0" r="0" b="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13" cstate="print"/>
                    <a:stretch>
                      <a:fillRect/>
                    </a:stretch>
                  </pic:blipFill>
                  <pic:spPr>
                    <a:xfrm>
                      <a:off x="0" y="0"/>
                      <a:ext cx="5273040" cy="1828800"/>
                    </a:xfrm>
                    <a:prstGeom prst="rect">
                      <a:avLst/>
                    </a:prstGeom>
                    <a:noFill/>
                    <a:ln>
                      <a:noFill/>
                    </a:ln>
                  </pic:spPr>
                </pic:pic>
              </a:graphicData>
            </a:graphic>
          </wp:inline>
        </w:drawing>
      </w:r>
    </w:p>
    <w:p w14:paraId="46288D17">
      <w:pPr>
        <w:jc w:val="center"/>
      </w:pPr>
      <w:r>
        <w:rPr>
          <w:rFonts w:hint="eastAsia"/>
        </w:rPr>
        <w:t>图7</w:t>
      </w:r>
    </w:p>
    <w:p w14:paraId="39CF4960">
      <w:pPr>
        <w:outlineLvl w:val="0"/>
        <w:rPr>
          <w:b/>
          <w:bCs/>
        </w:rPr>
      </w:pPr>
      <w:r>
        <w:rPr>
          <w:rFonts w:hint="eastAsia"/>
          <w:b/>
          <w:bCs/>
        </w:rPr>
        <w:t>二、招标管理</w:t>
      </w:r>
    </w:p>
    <w:p w14:paraId="7380836A">
      <w:pPr>
        <w:outlineLvl w:val="1"/>
        <w:rPr>
          <w:b/>
          <w:bCs/>
        </w:rPr>
      </w:pPr>
      <w:r>
        <w:rPr>
          <w:rFonts w:hint="eastAsia"/>
          <w:b/>
          <w:bCs/>
        </w:rPr>
        <w:t>1.1、生产企业及经营企业</w:t>
      </w:r>
    </w:p>
    <w:p w14:paraId="0CA392DC">
      <w:pPr>
        <w:ind w:firstLine="420" w:firstLineChars="200"/>
      </w:pPr>
      <w:r>
        <w:rPr>
          <w:rFonts w:hint="eastAsia"/>
        </w:rPr>
        <w:t>点击图7页面上的“招标管理”进入招标模块（如图8所示）。</w:t>
      </w:r>
    </w:p>
    <w:p w14:paraId="7934F1CD">
      <w:r>
        <w:drawing>
          <wp:inline distT="0" distB="0" distL="114300" distR="114300">
            <wp:extent cx="5273040" cy="2156460"/>
            <wp:effectExtent l="0" t="0" r="0" b="762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14" cstate="print"/>
                    <a:stretch>
                      <a:fillRect/>
                    </a:stretch>
                  </pic:blipFill>
                  <pic:spPr>
                    <a:xfrm>
                      <a:off x="0" y="0"/>
                      <a:ext cx="5273040" cy="2156460"/>
                    </a:xfrm>
                    <a:prstGeom prst="rect">
                      <a:avLst/>
                    </a:prstGeom>
                    <a:noFill/>
                    <a:ln>
                      <a:noFill/>
                    </a:ln>
                  </pic:spPr>
                </pic:pic>
              </a:graphicData>
            </a:graphic>
          </wp:inline>
        </w:drawing>
      </w:r>
    </w:p>
    <w:p w14:paraId="285A898B">
      <w:pPr>
        <w:ind w:firstLine="420" w:firstLineChars="200"/>
        <w:jc w:val="center"/>
      </w:pPr>
      <w:r>
        <w:rPr>
          <w:rFonts w:hint="eastAsia"/>
        </w:rPr>
        <w:t>图8</w:t>
      </w:r>
    </w:p>
    <w:p w14:paraId="6BE0A47C">
      <w:pPr>
        <w:ind w:firstLine="420" w:firstLineChars="200"/>
      </w:pPr>
      <w:r>
        <w:rPr>
          <w:rFonts w:hint="eastAsia"/>
        </w:rPr>
        <w:t>点击页面上的【我的工作台】链接进入招标项目页面，在该页面上展示所有的招标项目，可根据“项目编号”及“项目名称”进行招标项目的查询（如图9所示）。</w:t>
      </w:r>
    </w:p>
    <w:p w14:paraId="0586AD4F">
      <w:r>
        <w:drawing>
          <wp:inline distT="0" distB="0" distL="114300" distR="114300">
            <wp:extent cx="5273040" cy="2095500"/>
            <wp:effectExtent l="0" t="0" r="0" b="762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15" cstate="print"/>
                    <a:stretch>
                      <a:fillRect/>
                    </a:stretch>
                  </pic:blipFill>
                  <pic:spPr>
                    <a:xfrm>
                      <a:off x="0" y="0"/>
                      <a:ext cx="5273040" cy="2095500"/>
                    </a:xfrm>
                    <a:prstGeom prst="rect">
                      <a:avLst/>
                    </a:prstGeom>
                    <a:noFill/>
                    <a:ln>
                      <a:noFill/>
                    </a:ln>
                  </pic:spPr>
                </pic:pic>
              </a:graphicData>
            </a:graphic>
          </wp:inline>
        </w:drawing>
      </w:r>
    </w:p>
    <w:p w14:paraId="31CC0EA9">
      <w:pPr>
        <w:jc w:val="center"/>
      </w:pPr>
      <w:r>
        <w:rPr>
          <w:rFonts w:hint="eastAsia"/>
        </w:rPr>
        <w:t>图9</w:t>
      </w:r>
    </w:p>
    <w:p w14:paraId="13C81A29">
      <w:pPr>
        <w:ind w:firstLine="420" w:firstLineChars="200"/>
        <w:jc w:val="both"/>
      </w:pPr>
      <w:r>
        <w:rPr>
          <w:rFonts w:hint="eastAsia"/>
        </w:rPr>
        <w:t>点击“进入”按钮进行对应项目企业信息及产品信息的维护报名工作（如图10所示）。</w:t>
      </w:r>
    </w:p>
    <w:p w14:paraId="6D34185B">
      <w:pPr>
        <w:jc w:val="both"/>
      </w:pPr>
      <w:r>
        <w:drawing>
          <wp:inline distT="0" distB="0" distL="114300" distR="114300">
            <wp:extent cx="5273040" cy="2476500"/>
            <wp:effectExtent l="0" t="0" r="0" b="762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16" cstate="print"/>
                    <a:stretch>
                      <a:fillRect/>
                    </a:stretch>
                  </pic:blipFill>
                  <pic:spPr>
                    <a:xfrm>
                      <a:off x="0" y="0"/>
                      <a:ext cx="5273040" cy="2476500"/>
                    </a:xfrm>
                    <a:prstGeom prst="rect">
                      <a:avLst/>
                    </a:prstGeom>
                    <a:noFill/>
                    <a:ln>
                      <a:noFill/>
                    </a:ln>
                  </pic:spPr>
                </pic:pic>
              </a:graphicData>
            </a:graphic>
          </wp:inline>
        </w:drawing>
      </w:r>
    </w:p>
    <w:p w14:paraId="77E5633F">
      <w:pPr>
        <w:jc w:val="center"/>
      </w:pPr>
      <w:r>
        <w:rPr>
          <w:rFonts w:hint="eastAsia"/>
        </w:rPr>
        <w:t>图10</w:t>
      </w:r>
    </w:p>
    <w:p w14:paraId="5DA757D6">
      <w:pPr>
        <w:numPr>
          <w:ilvl w:val="2"/>
          <w:numId w:val="5"/>
        </w:numPr>
        <w:jc w:val="both"/>
        <w:outlineLvl w:val="2"/>
        <w:rPr>
          <w:b/>
          <w:bCs/>
        </w:rPr>
      </w:pPr>
      <w:r>
        <w:rPr>
          <w:rFonts w:hint="eastAsia"/>
          <w:b/>
          <w:bCs/>
        </w:rPr>
        <w:t>生产企业报名管理</w:t>
      </w:r>
    </w:p>
    <w:p w14:paraId="46D7A41F">
      <w:pPr>
        <w:jc w:val="both"/>
        <w:outlineLvl w:val="3"/>
        <w:rPr>
          <w:b/>
          <w:bCs/>
        </w:rPr>
      </w:pPr>
      <w:r>
        <w:rPr>
          <w:rFonts w:hint="eastAsia"/>
          <w:b/>
          <w:bCs/>
        </w:rPr>
        <w:t>1.1.1.1、企业信息维护</w:t>
      </w:r>
    </w:p>
    <w:p w14:paraId="3C49511F">
      <w:pPr>
        <w:ind w:firstLine="420" w:firstLineChars="200"/>
        <w:jc w:val="both"/>
      </w:pPr>
      <w:r>
        <w:rPr>
          <w:rFonts w:hint="eastAsia"/>
        </w:rPr>
        <w:t>点击【生产企业报名管理】模块下的“生产企业报名”链接进入生产企业维护页面（如图11所示）。当招标项目开启报名后，在页面上方显示的报名时间内进行企业信息的维护与提交操作。</w:t>
      </w:r>
    </w:p>
    <w:p w14:paraId="0650663D">
      <w:pPr>
        <w:jc w:val="both"/>
      </w:pPr>
      <w:r>
        <w:drawing>
          <wp:inline distT="0" distB="0" distL="114300" distR="114300">
            <wp:extent cx="5273040" cy="2476500"/>
            <wp:effectExtent l="0" t="0" r="0" b="7620"/>
            <wp:docPr id="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pic:cNvPicPr>
                      <a:picLocks noChangeAspect="1"/>
                    </pic:cNvPicPr>
                  </pic:nvPicPr>
                  <pic:blipFill>
                    <a:blip r:embed="rId17" cstate="print"/>
                    <a:stretch>
                      <a:fillRect/>
                    </a:stretch>
                  </pic:blipFill>
                  <pic:spPr>
                    <a:xfrm>
                      <a:off x="0" y="0"/>
                      <a:ext cx="5273040" cy="2476500"/>
                    </a:xfrm>
                    <a:prstGeom prst="rect">
                      <a:avLst/>
                    </a:prstGeom>
                    <a:noFill/>
                    <a:ln>
                      <a:noFill/>
                    </a:ln>
                  </pic:spPr>
                </pic:pic>
              </a:graphicData>
            </a:graphic>
          </wp:inline>
        </w:drawing>
      </w:r>
    </w:p>
    <w:p w14:paraId="5E68F1CB">
      <w:pPr>
        <w:jc w:val="center"/>
      </w:pPr>
      <w:r>
        <w:rPr>
          <w:rFonts w:hint="eastAsia"/>
        </w:rPr>
        <w:t>图11</w:t>
      </w:r>
    </w:p>
    <w:p w14:paraId="546DE85F">
      <w:pPr>
        <w:ind w:firstLine="420" w:firstLineChars="200"/>
        <w:jc w:val="both"/>
      </w:pPr>
      <w:r>
        <w:rPr>
          <w:rFonts w:hint="eastAsia"/>
        </w:rPr>
        <w:t>点击“保存”按钮可新增与修改企业信息，企业信息填写完毕且确认无误后，点击“提交”按钮完成企业信息的维护工作（如图12所示）。</w:t>
      </w:r>
    </w:p>
    <w:p w14:paraId="200C1867">
      <w:pPr>
        <w:jc w:val="center"/>
      </w:pPr>
      <w:r>
        <w:drawing>
          <wp:inline distT="0" distB="0" distL="114300" distR="114300">
            <wp:extent cx="5273040" cy="2476500"/>
            <wp:effectExtent l="0" t="0" r="0" b="7620"/>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pic:cNvPicPr>
                  </pic:nvPicPr>
                  <pic:blipFill>
                    <a:blip r:embed="rId18" cstate="print"/>
                    <a:stretch>
                      <a:fillRect/>
                    </a:stretch>
                  </pic:blipFill>
                  <pic:spPr>
                    <a:xfrm>
                      <a:off x="0" y="0"/>
                      <a:ext cx="5273040" cy="2476500"/>
                    </a:xfrm>
                    <a:prstGeom prst="rect">
                      <a:avLst/>
                    </a:prstGeom>
                    <a:noFill/>
                    <a:ln>
                      <a:noFill/>
                    </a:ln>
                  </pic:spPr>
                </pic:pic>
              </a:graphicData>
            </a:graphic>
          </wp:inline>
        </w:drawing>
      </w:r>
    </w:p>
    <w:p w14:paraId="418AD6B6">
      <w:pPr>
        <w:jc w:val="center"/>
      </w:pPr>
      <w:r>
        <w:rPr>
          <w:rFonts w:hint="eastAsia"/>
        </w:rPr>
        <w:t>图12</w:t>
      </w:r>
    </w:p>
    <w:p w14:paraId="2FC24AD9">
      <w:pPr>
        <w:pStyle w:val="6"/>
        <w:numPr>
          <w:ilvl w:val="5"/>
          <w:numId w:val="0"/>
        </w:numPr>
        <w:tabs>
          <w:tab w:val="left" w:pos="1008"/>
          <w:tab w:val="clear" w:pos="1152"/>
        </w:tabs>
      </w:pPr>
      <w:r>
        <w:rPr>
          <w:rFonts w:hint="eastAsia"/>
        </w:rPr>
        <w:t>注意事项</w:t>
      </w:r>
    </w:p>
    <w:p w14:paraId="4318096A">
      <w:pPr>
        <w:pStyle w:val="14"/>
        <w:ind w:left="420" w:leftChars="200" w:firstLine="0" w:firstLineChars="0"/>
        <w:rPr>
          <w:b/>
          <w:bCs/>
          <w:color w:val="FF0000"/>
          <w:szCs w:val="21"/>
        </w:rPr>
      </w:pPr>
      <w:r>
        <w:rPr>
          <w:rFonts w:hint="eastAsia"/>
          <w:b/>
          <w:bCs/>
          <w:color w:val="FF0000"/>
          <w:szCs w:val="21"/>
        </w:rPr>
        <w:t>1.带*号的是必填项；</w:t>
      </w:r>
    </w:p>
    <w:p w14:paraId="0016B01F">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68385276">
      <w:pPr>
        <w:pStyle w:val="14"/>
        <w:ind w:left="420" w:leftChars="200" w:firstLine="0" w:firstLineChars="0"/>
        <w:rPr>
          <w:b/>
          <w:bCs/>
          <w:color w:val="FF0000"/>
          <w:szCs w:val="21"/>
        </w:rPr>
      </w:pPr>
      <w:r>
        <w:rPr>
          <w:rFonts w:hint="eastAsia"/>
          <w:b/>
          <w:bCs/>
          <w:color w:val="FF0000"/>
          <w:szCs w:val="21"/>
        </w:rPr>
        <w:t>3.企业信息提交后不可进行修改。</w:t>
      </w:r>
    </w:p>
    <w:p w14:paraId="68A3CBA0">
      <w:pPr>
        <w:jc w:val="both"/>
        <w:outlineLvl w:val="3"/>
        <w:rPr>
          <w:b/>
          <w:bCs/>
        </w:rPr>
      </w:pPr>
      <w:r>
        <w:rPr>
          <w:rFonts w:hint="eastAsia"/>
          <w:b/>
          <w:bCs/>
        </w:rPr>
        <w:t>1.1.1.2、企业信息审核修改</w:t>
      </w:r>
    </w:p>
    <w:p w14:paraId="1CEC1B60">
      <w:pPr>
        <w:ind w:firstLine="420" w:firstLineChars="200"/>
      </w:pPr>
      <w:r>
        <w:rPr>
          <w:rFonts w:hint="eastAsia"/>
        </w:rPr>
        <w:t>企业提交报名信息后，当审核状态为“初审不通过”或“复审不通过”时可对不通过的信息进行修改操作（如图13所示）。当审核状态为“初审通过”或“复审通过”时只能进行信息的查看，不可修改（如图14所示）。</w:t>
      </w:r>
    </w:p>
    <w:p w14:paraId="19BC53B3">
      <w:r>
        <w:drawing>
          <wp:inline distT="0" distB="0" distL="114300" distR="114300">
            <wp:extent cx="5273040" cy="2476500"/>
            <wp:effectExtent l="0" t="0" r="0" b="7620"/>
            <wp:docPr id="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
                    <pic:cNvPicPr>
                      <a:picLocks noChangeAspect="1"/>
                    </pic:cNvPicPr>
                  </pic:nvPicPr>
                  <pic:blipFill>
                    <a:blip r:embed="rId19" cstate="print"/>
                    <a:stretch>
                      <a:fillRect/>
                    </a:stretch>
                  </pic:blipFill>
                  <pic:spPr>
                    <a:xfrm>
                      <a:off x="0" y="0"/>
                      <a:ext cx="5273040" cy="2476500"/>
                    </a:xfrm>
                    <a:prstGeom prst="rect">
                      <a:avLst/>
                    </a:prstGeom>
                    <a:noFill/>
                    <a:ln>
                      <a:noFill/>
                    </a:ln>
                  </pic:spPr>
                </pic:pic>
              </a:graphicData>
            </a:graphic>
          </wp:inline>
        </w:drawing>
      </w:r>
    </w:p>
    <w:p w14:paraId="68826FFA">
      <w:pPr>
        <w:jc w:val="center"/>
      </w:pPr>
      <w:r>
        <w:rPr>
          <w:rFonts w:hint="eastAsia"/>
        </w:rPr>
        <w:t>图13</w:t>
      </w:r>
    </w:p>
    <w:p w14:paraId="00019864">
      <w:r>
        <w:drawing>
          <wp:inline distT="0" distB="0" distL="114300" distR="114300">
            <wp:extent cx="5273040" cy="2476500"/>
            <wp:effectExtent l="0" t="0" r="0" b="7620"/>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pic:cNvPicPr>
                      <a:picLocks noChangeAspect="1"/>
                    </pic:cNvPicPr>
                  </pic:nvPicPr>
                  <pic:blipFill>
                    <a:blip r:embed="rId20" cstate="print"/>
                    <a:stretch>
                      <a:fillRect/>
                    </a:stretch>
                  </pic:blipFill>
                  <pic:spPr>
                    <a:xfrm>
                      <a:off x="0" y="0"/>
                      <a:ext cx="5273040" cy="2476500"/>
                    </a:xfrm>
                    <a:prstGeom prst="rect">
                      <a:avLst/>
                    </a:prstGeom>
                    <a:noFill/>
                    <a:ln>
                      <a:noFill/>
                    </a:ln>
                  </pic:spPr>
                </pic:pic>
              </a:graphicData>
            </a:graphic>
          </wp:inline>
        </w:drawing>
      </w:r>
    </w:p>
    <w:p w14:paraId="56B7F7A3">
      <w:pPr>
        <w:jc w:val="center"/>
      </w:pPr>
      <w:r>
        <w:rPr>
          <w:rFonts w:hint="eastAsia"/>
        </w:rPr>
        <w:t>图14</w:t>
      </w:r>
    </w:p>
    <w:p w14:paraId="2AA9C517">
      <w:pPr>
        <w:pStyle w:val="6"/>
        <w:numPr>
          <w:ilvl w:val="5"/>
          <w:numId w:val="0"/>
        </w:numPr>
        <w:tabs>
          <w:tab w:val="left" w:pos="1008"/>
          <w:tab w:val="clear" w:pos="1152"/>
        </w:tabs>
      </w:pPr>
      <w:r>
        <w:rPr>
          <w:rFonts w:hint="eastAsia"/>
        </w:rPr>
        <w:t>注意事项</w:t>
      </w:r>
    </w:p>
    <w:p w14:paraId="210B2AE1">
      <w:pPr>
        <w:pStyle w:val="14"/>
        <w:ind w:left="420" w:leftChars="200" w:firstLine="0" w:firstLineChars="0"/>
        <w:rPr>
          <w:b/>
          <w:bCs/>
          <w:color w:val="FF0000"/>
          <w:szCs w:val="21"/>
        </w:rPr>
      </w:pPr>
      <w:r>
        <w:rPr>
          <w:rFonts w:hint="eastAsia"/>
          <w:b/>
          <w:bCs/>
          <w:color w:val="FF0000"/>
          <w:szCs w:val="21"/>
        </w:rPr>
        <w:t>1.带*号的是必填项；</w:t>
      </w:r>
    </w:p>
    <w:p w14:paraId="07687652">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7AC9A5C9">
      <w:pPr>
        <w:pStyle w:val="14"/>
        <w:ind w:left="420" w:leftChars="200" w:firstLine="0" w:firstLineChars="0"/>
        <w:rPr>
          <w:b/>
          <w:bCs/>
          <w:color w:val="FF0000"/>
          <w:szCs w:val="21"/>
        </w:rPr>
      </w:pPr>
      <w:r>
        <w:rPr>
          <w:rFonts w:hint="eastAsia"/>
          <w:b/>
          <w:bCs/>
          <w:color w:val="FF0000"/>
          <w:szCs w:val="21"/>
        </w:rPr>
        <w:t>3.审核不通过的企业只能修改审核不通过的选项；</w:t>
      </w:r>
    </w:p>
    <w:p w14:paraId="37E27BEA">
      <w:pPr>
        <w:pStyle w:val="14"/>
        <w:ind w:left="420" w:leftChars="200" w:firstLine="0" w:firstLineChars="0"/>
        <w:rPr>
          <w:b/>
          <w:bCs/>
          <w:color w:val="FF0000"/>
          <w:szCs w:val="21"/>
        </w:rPr>
      </w:pPr>
      <w:r>
        <w:rPr>
          <w:rFonts w:hint="eastAsia"/>
          <w:b/>
          <w:bCs/>
          <w:color w:val="FF0000"/>
          <w:szCs w:val="21"/>
        </w:rPr>
        <w:t>4.修改完成后必须再次对修改的信息进行提交操作。</w:t>
      </w:r>
    </w:p>
    <w:p w14:paraId="239A650A">
      <w:pPr>
        <w:numPr>
          <w:ilvl w:val="2"/>
          <w:numId w:val="5"/>
        </w:numPr>
        <w:jc w:val="both"/>
        <w:outlineLvl w:val="2"/>
        <w:rPr>
          <w:b/>
          <w:bCs/>
        </w:rPr>
      </w:pPr>
      <w:r>
        <w:rPr>
          <w:rFonts w:hint="eastAsia"/>
          <w:b/>
          <w:bCs/>
        </w:rPr>
        <w:t>产品信息报名管理</w:t>
      </w:r>
    </w:p>
    <w:p w14:paraId="2F811A5C">
      <w:pPr>
        <w:numPr>
          <w:ilvl w:val="3"/>
          <w:numId w:val="5"/>
        </w:numPr>
        <w:jc w:val="both"/>
        <w:outlineLvl w:val="3"/>
        <w:rPr>
          <w:b/>
          <w:bCs/>
        </w:rPr>
      </w:pPr>
      <w:r>
        <w:rPr>
          <w:rFonts w:hint="eastAsia"/>
          <w:b/>
          <w:bCs/>
        </w:rPr>
        <w:t>产品GMP维护</w:t>
      </w:r>
    </w:p>
    <w:p w14:paraId="7ABC1A1A">
      <w:pPr>
        <w:ind w:firstLine="420" w:firstLineChars="200"/>
        <w:jc w:val="both"/>
      </w:pPr>
      <w:r>
        <w:rPr>
          <w:rFonts w:hint="eastAsia"/>
        </w:rPr>
        <w:t>点击【生产企业报名管理】模块下的“产品GMP维护”链接进入维护GMP信息页面，在页面上展示所有本企业新增的GMP信息，可根据GMP编号对维护的信息进行查询（如图15所示）。点击页面上的“新增”按钮可进行新增GMP信息操作（如图16所示）。</w:t>
      </w:r>
    </w:p>
    <w:p w14:paraId="7EE12F36">
      <w:pPr>
        <w:jc w:val="both"/>
      </w:pPr>
      <w:r>
        <w:drawing>
          <wp:inline distT="0" distB="0" distL="114300" distR="114300">
            <wp:extent cx="5273040" cy="2476500"/>
            <wp:effectExtent l="0" t="0" r="0" b="762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21" cstate="print"/>
                    <a:stretch>
                      <a:fillRect/>
                    </a:stretch>
                  </pic:blipFill>
                  <pic:spPr>
                    <a:xfrm>
                      <a:off x="0" y="0"/>
                      <a:ext cx="5273040" cy="2476500"/>
                    </a:xfrm>
                    <a:prstGeom prst="rect">
                      <a:avLst/>
                    </a:prstGeom>
                    <a:noFill/>
                    <a:ln>
                      <a:noFill/>
                    </a:ln>
                  </pic:spPr>
                </pic:pic>
              </a:graphicData>
            </a:graphic>
          </wp:inline>
        </w:drawing>
      </w:r>
    </w:p>
    <w:p w14:paraId="0F68DA44">
      <w:pPr>
        <w:jc w:val="center"/>
      </w:pPr>
      <w:r>
        <w:rPr>
          <w:rFonts w:hint="eastAsia"/>
        </w:rPr>
        <w:t>图15</w:t>
      </w:r>
    </w:p>
    <w:p w14:paraId="53AB67A3">
      <w:pPr>
        <w:jc w:val="center"/>
      </w:pPr>
      <w:r>
        <w:drawing>
          <wp:inline distT="0" distB="0" distL="114300" distR="114300">
            <wp:extent cx="5265420" cy="1805940"/>
            <wp:effectExtent l="0" t="0" r="7620" b="7620"/>
            <wp:docPr id="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4"/>
                    <pic:cNvPicPr>
                      <a:picLocks noChangeAspect="1"/>
                    </pic:cNvPicPr>
                  </pic:nvPicPr>
                  <pic:blipFill>
                    <a:blip r:embed="rId22" cstate="print"/>
                    <a:stretch>
                      <a:fillRect/>
                    </a:stretch>
                  </pic:blipFill>
                  <pic:spPr>
                    <a:xfrm>
                      <a:off x="0" y="0"/>
                      <a:ext cx="5265420" cy="1805940"/>
                    </a:xfrm>
                    <a:prstGeom prst="rect">
                      <a:avLst/>
                    </a:prstGeom>
                    <a:noFill/>
                    <a:ln>
                      <a:noFill/>
                    </a:ln>
                  </pic:spPr>
                </pic:pic>
              </a:graphicData>
            </a:graphic>
          </wp:inline>
        </w:drawing>
      </w:r>
    </w:p>
    <w:p w14:paraId="68BC9ADE">
      <w:pPr>
        <w:jc w:val="center"/>
      </w:pPr>
      <w:r>
        <w:rPr>
          <w:rFonts w:hint="eastAsia"/>
        </w:rPr>
        <w:t>图16</w:t>
      </w:r>
    </w:p>
    <w:p w14:paraId="552700F8">
      <w:pPr>
        <w:rPr>
          <w:b/>
          <w:bCs/>
        </w:rPr>
      </w:pPr>
      <w:r>
        <w:rPr>
          <w:rFonts w:hint="eastAsia"/>
          <w:b/>
          <w:bCs/>
        </w:rPr>
        <w:t>功能描述</w:t>
      </w:r>
    </w:p>
    <w:p w14:paraId="06F6DFF5">
      <w:pPr>
        <w:numPr>
          <w:ilvl w:val="0"/>
          <w:numId w:val="6"/>
        </w:numPr>
        <w:ind w:firstLine="420" w:firstLineChars="200"/>
      </w:pPr>
      <w:r>
        <w:rPr>
          <w:rFonts w:hint="eastAsia"/>
        </w:rPr>
        <w:t>点击“查询”按钮可根据输入的“GMP编号”进行GMP信息的查询。</w:t>
      </w:r>
    </w:p>
    <w:p w14:paraId="5095C3CD">
      <w:pPr>
        <w:numPr>
          <w:ilvl w:val="0"/>
          <w:numId w:val="6"/>
        </w:numPr>
        <w:ind w:firstLine="420" w:firstLineChars="200"/>
      </w:pPr>
      <w:r>
        <w:rPr>
          <w:rFonts w:hint="eastAsia"/>
        </w:rPr>
        <w:t>点击“新增”按钮可对GMP信息进行新增操作。</w:t>
      </w:r>
    </w:p>
    <w:p w14:paraId="22294142">
      <w:pPr>
        <w:numPr>
          <w:ilvl w:val="0"/>
          <w:numId w:val="6"/>
        </w:numPr>
        <w:ind w:firstLine="420" w:firstLineChars="200"/>
      </w:pPr>
      <w:r>
        <w:rPr>
          <w:rFonts w:hint="eastAsia"/>
        </w:rPr>
        <w:t>点击“修改”按钮可对GMP信息进行修改操作。</w:t>
      </w:r>
    </w:p>
    <w:p w14:paraId="62B0CAF6">
      <w:pPr>
        <w:numPr>
          <w:ilvl w:val="0"/>
          <w:numId w:val="6"/>
        </w:numPr>
        <w:ind w:firstLine="420" w:firstLineChars="200"/>
      </w:pPr>
      <w:r>
        <w:rPr>
          <w:rFonts w:hint="eastAsia"/>
        </w:rPr>
        <w:t>点击“查看”按钮可对维护的GMP信息进行查看操作。</w:t>
      </w:r>
    </w:p>
    <w:p w14:paraId="05B01C6F">
      <w:pPr>
        <w:numPr>
          <w:ilvl w:val="0"/>
          <w:numId w:val="6"/>
        </w:numPr>
        <w:ind w:firstLine="420" w:firstLineChars="200"/>
      </w:pPr>
      <w:r>
        <w:rPr>
          <w:rFonts w:hint="eastAsia"/>
        </w:rPr>
        <w:t>点击“删除”按钮可对维护的GMP信息进行删除操作，如该GMP信息已和产品进行关联则无法进行删除操作，如需删除请先解除和产品的绑定。</w:t>
      </w:r>
    </w:p>
    <w:p w14:paraId="6EDAC779">
      <w:pPr>
        <w:rPr>
          <w:b/>
          <w:bCs/>
        </w:rPr>
      </w:pPr>
      <w:r>
        <w:rPr>
          <w:rFonts w:hint="eastAsia"/>
          <w:b/>
          <w:bCs/>
        </w:rPr>
        <w:t>注意事项：</w:t>
      </w:r>
    </w:p>
    <w:p w14:paraId="10ACC15A">
      <w:pPr>
        <w:pStyle w:val="14"/>
        <w:ind w:left="420" w:leftChars="200" w:firstLine="0" w:firstLineChars="0"/>
        <w:rPr>
          <w:b/>
          <w:bCs/>
          <w:color w:val="FF0000"/>
          <w:szCs w:val="21"/>
        </w:rPr>
      </w:pPr>
      <w:r>
        <w:rPr>
          <w:rFonts w:hint="eastAsia"/>
          <w:b/>
          <w:bCs/>
          <w:color w:val="FF0000"/>
          <w:szCs w:val="21"/>
        </w:rPr>
        <w:t>1.带*号的是必填项；</w:t>
      </w:r>
    </w:p>
    <w:p w14:paraId="6985A376">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1FE83702">
      <w:pPr>
        <w:pStyle w:val="14"/>
        <w:ind w:left="420" w:leftChars="200" w:firstLine="0" w:firstLineChars="0"/>
      </w:pPr>
      <w:r>
        <w:rPr>
          <w:rFonts w:hint="eastAsia"/>
          <w:b/>
          <w:bCs/>
          <w:color w:val="FF0000"/>
          <w:szCs w:val="21"/>
        </w:rPr>
        <w:t>3.GMP信息和产品绑定后不可进行删除操作，如需删除请先解除和产品的绑定。</w:t>
      </w:r>
    </w:p>
    <w:p w14:paraId="6EDDDEE0">
      <w:pPr>
        <w:numPr>
          <w:ilvl w:val="3"/>
          <w:numId w:val="5"/>
        </w:numPr>
        <w:jc w:val="both"/>
        <w:outlineLvl w:val="3"/>
        <w:rPr>
          <w:b/>
          <w:bCs/>
        </w:rPr>
      </w:pPr>
      <w:r>
        <w:rPr>
          <w:rFonts w:hint="eastAsia"/>
          <w:b/>
          <w:bCs/>
        </w:rPr>
        <w:t>产品申报</w:t>
      </w:r>
    </w:p>
    <w:p w14:paraId="46603833">
      <w:pPr>
        <w:ind w:firstLine="420" w:firstLineChars="200"/>
        <w:jc w:val="both"/>
      </w:pPr>
      <w:r>
        <w:rPr>
          <w:rFonts w:hint="eastAsia"/>
        </w:rPr>
        <w:t>点击【生产企业报名管理】模块下的“产品申报”页面进行产品信息维护列表，在列表上展示所有已申报的产品信息，不同状态的产品信息展示在不同的页面（如图17所示），在该页面上可根据“目录序号”、“目录名称”、“编码”等查询条件进行产品信息的查询。</w:t>
      </w:r>
    </w:p>
    <w:p w14:paraId="13F825B8">
      <w:pPr>
        <w:jc w:val="both"/>
      </w:pPr>
      <w:r>
        <w:drawing>
          <wp:inline distT="0" distB="0" distL="114300" distR="114300">
            <wp:extent cx="5273040" cy="1630680"/>
            <wp:effectExtent l="0" t="0" r="0" b="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5"/>
                    <pic:cNvPicPr>
                      <a:picLocks noChangeAspect="1"/>
                    </pic:cNvPicPr>
                  </pic:nvPicPr>
                  <pic:blipFill>
                    <a:blip r:embed="rId23" cstate="print"/>
                    <a:stretch>
                      <a:fillRect/>
                    </a:stretch>
                  </pic:blipFill>
                  <pic:spPr>
                    <a:xfrm>
                      <a:off x="0" y="0"/>
                      <a:ext cx="5273040" cy="1630680"/>
                    </a:xfrm>
                    <a:prstGeom prst="rect">
                      <a:avLst/>
                    </a:prstGeom>
                    <a:noFill/>
                    <a:ln>
                      <a:noFill/>
                    </a:ln>
                  </pic:spPr>
                </pic:pic>
              </a:graphicData>
            </a:graphic>
          </wp:inline>
        </w:drawing>
      </w:r>
    </w:p>
    <w:p w14:paraId="691C9640">
      <w:pPr>
        <w:jc w:val="center"/>
      </w:pPr>
      <w:r>
        <w:rPr>
          <w:rFonts w:hint="eastAsia"/>
        </w:rPr>
        <w:t>图17</w:t>
      </w:r>
    </w:p>
    <w:p w14:paraId="389CCEC9">
      <w:pPr>
        <w:outlineLvl w:val="4"/>
        <w:rPr>
          <w:b/>
          <w:bCs/>
        </w:rPr>
      </w:pPr>
      <w:r>
        <w:rPr>
          <w:rFonts w:hint="eastAsia"/>
          <w:b/>
          <w:bCs/>
        </w:rPr>
        <w:t>1.1.2.2.1.产品申报页面</w:t>
      </w:r>
    </w:p>
    <w:p w14:paraId="34219632">
      <w:pPr>
        <w:ind w:firstLine="420" w:firstLineChars="200"/>
        <w:jc w:val="both"/>
      </w:pPr>
      <w:r>
        <w:rPr>
          <w:rFonts w:hint="eastAsia"/>
        </w:rPr>
        <w:t>点击“产品申报”页面“产品申报”</w:t>
      </w:r>
      <w:r>
        <w:t>页</w:t>
      </w:r>
      <w:r>
        <w:rPr>
          <w:rFonts w:hint="eastAsia"/>
        </w:rPr>
        <w:t>面，</w:t>
      </w:r>
      <w:r>
        <w:t>在该页面上展示所有已维护的待提交的产品信息（如图18所示），可对已维护待提交的产品信息进行</w:t>
      </w:r>
      <w:r>
        <w:rPr>
          <w:rFonts w:hint="eastAsia"/>
        </w:rPr>
        <w:t>“修改”、“提交”、“批量提交”、“查看”</w:t>
      </w:r>
      <w:r>
        <w:t>等操作。</w:t>
      </w:r>
      <w:r>
        <w:rPr>
          <w:rFonts w:hint="eastAsia"/>
        </w:rPr>
        <w:t>点击“新增”按钮进入产品新增页面（如图1</w:t>
      </w:r>
      <w:r>
        <w:t>9</w:t>
      </w:r>
      <w:r>
        <w:rPr>
          <w:rFonts w:hint="eastAsia"/>
        </w:rPr>
        <w:t>所示）。在该页面上选择产品目录并填写后点击“保存”及“提交”按钮完成产品信息的维护工作。</w:t>
      </w:r>
    </w:p>
    <w:p w14:paraId="7402D2EF">
      <w:pPr>
        <w:jc w:val="both"/>
      </w:pPr>
      <w:r>
        <w:drawing>
          <wp:inline distT="0" distB="0" distL="114300" distR="114300">
            <wp:extent cx="5273040" cy="2476500"/>
            <wp:effectExtent l="0" t="0" r="0" b="7620"/>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24" cstate="print"/>
                    <a:stretch>
                      <a:fillRect/>
                    </a:stretch>
                  </pic:blipFill>
                  <pic:spPr>
                    <a:xfrm>
                      <a:off x="0" y="0"/>
                      <a:ext cx="5273040" cy="2476500"/>
                    </a:xfrm>
                    <a:prstGeom prst="rect">
                      <a:avLst/>
                    </a:prstGeom>
                    <a:noFill/>
                    <a:ln>
                      <a:noFill/>
                    </a:ln>
                  </pic:spPr>
                </pic:pic>
              </a:graphicData>
            </a:graphic>
          </wp:inline>
        </w:drawing>
      </w:r>
    </w:p>
    <w:p w14:paraId="106DCE78">
      <w:pPr>
        <w:ind w:firstLine="420" w:firstLineChars="200"/>
        <w:jc w:val="center"/>
      </w:pPr>
      <w:r>
        <w:t>图18</w:t>
      </w:r>
    </w:p>
    <w:p w14:paraId="4F6FA425">
      <w:pPr>
        <w:jc w:val="both"/>
      </w:pPr>
      <w:r>
        <w:drawing>
          <wp:inline distT="0" distB="0" distL="114300" distR="114300">
            <wp:extent cx="5273040" cy="2499360"/>
            <wp:effectExtent l="0" t="0" r="0" b="0"/>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25" cstate="print"/>
                    <a:stretch>
                      <a:fillRect/>
                    </a:stretch>
                  </pic:blipFill>
                  <pic:spPr>
                    <a:xfrm>
                      <a:off x="0" y="0"/>
                      <a:ext cx="5273040" cy="2499360"/>
                    </a:xfrm>
                    <a:prstGeom prst="rect">
                      <a:avLst/>
                    </a:prstGeom>
                    <a:noFill/>
                    <a:ln>
                      <a:noFill/>
                    </a:ln>
                  </pic:spPr>
                </pic:pic>
              </a:graphicData>
            </a:graphic>
          </wp:inline>
        </w:drawing>
      </w:r>
    </w:p>
    <w:p w14:paraId="7470174E">
      <w:pPr>
        <w:jc w:val="center"/>
      </w:pPr>
      <w:r>
        <w:rPr>
          <w:rFonts w:hint="eastAsia"/>
        </w:rPr>
        <w:t>图1</w:t>
      </w:r>
      <w:r>
        <w:t>9</w:t>
      </w:r>
    </w:p>
    <w:p w14:paraId="521E20BB">
      <w:pPr>
        <w:pStyle w:val="6"/>
        <w:numPr>
          <w:ilvl w:val="5"/>
          <w:numId w:val="0"/>
        </w:numPr>
        <w:tabs>
          <w:tab w:val="left" w:pos="1008"/>
          <w:tab w:val="clear" w:pos="1152"/>
        </w:tabs>
      </w:pPr>
      <w:r>
        <w:t>功能描述</w:t>
      </w:r>
    </w:p>
    <w:p w14:paraId="4DA412E6">
      <w:pPr>
        <w:numPr>
          <w:ilvl w:val="0"/>
          <w:numId w:val="7"/>
        </w:numPr>
        <w:ind w:firstLine="420" w:firstLineChars="200"/>
      </w:pPr>
      <w:r>
        <w:rPr>
          <w:rFonts w:hint="eastAsia"/>
        </w:rPr>
        <w:t>点击</w:t>
      </w:r>
      <w:r>
        <w:t>图18页面上的</w:t>
      </w:r>
      <w:r>
        <w:rPr>
          <w:rFonts w:hint="eastAsia"/>
        </w:rPr>
        <w:t>“新增”按钮可对产品信息进行新增操作。</w:t>
      </w:r>
    </w:p>
    <w:p w14:paraId="20DAE635">
      <w:pPr>
        <w:numPr>
          <w:ilvl w:val="0"/>
          <w:numId w:val="7"/>
        </w:numPr>
        <w:ind w:firstLine="420" w:firstLineChars="200"/>
      </w:pPr>
      <w:r>
        <w:t>点击图18页面上的“修改”按钮可对维护的产品信息进行修改操作。</w:t>
      </w:r>
    </w:p>
    <w:p w14:paraId="414C70A3">
      <w:pPr>
        <w:numPr>
          <w:ilvl w:val="0"/>
          <w:numId w:val="7"/>
        </w:numPr>
        <w:ind w:firstLine="420" w:firstLineChars="200"/>
      </w:pPr>
      <w:r>
        <w:t>点击图18页面上的“提交”按钮可对对应的产品信息进行提交操作。</w:t>
      </w:r>
    </w:p>
    <w:p w14:paraId="6EB001EE">
      <w:pPr>
        <w:numPr>
          <w:ilvl w:val="0"/>
          <w:numId w:val="7"/>
        </w:numPr>
        <w:ind w:firstLine="420" w:firstLineChars="200"/>
      </w:pPr>
      <w:r>
        <w:t>点击图18页面上的“批量提交”按钮可选择对应的产品进行提交操作。</w:t>
      </w:r>
    </w:p>
    <w:p w14:paraId="1CA2CB8D">
      <w:pPr>
        <w:numPr>
          <w:ilvl w:val="0"/>
          <w:numId w:val="7"/>
        </w:numPr>
        <w:ind w:firstLine="420" w:firstLineChars="200"/>
      </w:pPr>
      <w:r>
        <w:t>点击图1</w:t>
      </w:r>
      <w:r>
        <w:rPr>
          <w:rFonts w:hint="eastAsia"/>
        </w:rPr>
        <w:t>8</w:t>
      </w:r>
      <w:r>
        <w:t>页面上的“查看”按钮可对维护的产品信息进行查看操作。</w:t>
      </w:r>
    </w:p>
    <w:p w14:paraId="7604E68A">
      <w:pPr>
        <w:numPr>
          <w:ilvl w:val="0"/>
          <w:numId w:val="7"/>
        </w:numPr>
        <w:ind w:firstLine="420" w:firstLineChars="200"/>
      </w:pPr>
      <w:r>
        <w:rPr>
          <w:rFonts w:hint="eastAsia"/>
        </w:rPr>
        <w:t>点击</w:t>
      </w:r>
      <w:r>
        <w:t>图1</w:t>
      </w:r>
      <w:r>
        <w:rPr>
          <w:rFonts w:hint="eastAsia"/>
        </w:rPr>
        <w:t>9</w:t>
      </w:r>
      <w:r>
        <w:t>页面上的</w:t>
      </w:r>
      <w:r>
        <w:rPr>
          <w:rFonts w:hint="eastAsia"/>
        </w:rPr>
        <w:t>“选择目录”按钮可选择产品对应的目录。</w:t>
      </w:r>
    </w:p>
    <w:p w14:paraId="46FF129E">
      <w:pPr>
        <w:numPr>
          <w:ilvl w:val="0"/>
          <w:numId w:val="7"/>
        </w:numPr>
        <w:ind w:firstLine="420" w:firstLineChars="200"/>
      </w:pPr>
      <w:r>
        <w:rPr>
          <w:rFonts w:hint="eastAsia"/>
        </w:rPr>
        <w:t>点击</w:t>
      </w:r>
      <w:r>
        <w:t>图1</w:t>
      </w:r>
      <w:r>
        <w:rPr>
          <w:rFonts w:hint="eastAsia"/>
        </w:rPr>
        <w:t>9</w:t>
      </w:r>
      <w:r>
        <w:t>页面上的</w:t>
      </w:r>
      <w:r>
        <w:rPr>
          <w:rFonts w:hint="eastAsia"/>
        </w:rPr>
        <w:t>“保存”按钮</w:t>
      </w:r>
      <w:r>
        <w:t>可</w:t>
      </w:r>
      <w:r>
        <w:rPr>
          <w:rFonts w:hint="eastAsia"/>
        </w:rPr>
        <w:t>对维护的产品信息进行保存操作。</w:t>
      </w:r>
    </w:p>
    <w:p w14:paraId="0177276E">
      <w:pPr>
        <w:numPr>
          <w:ilvl w:val="0"/>
          <w:numId w:val="7"/>
        </w:numPr>
        <w:ind w:firstLine="420" w:firstLineChars="200"/>
      </w:pPr>
      <w:r>
        <w:rPr>
          <w:rFonts w:hint="eastAsia"/>
        </w:rPr>
        <w:t>点击</w:t>
      </w:r>
      <w:r>
        <w:t>图1</w:t>
      </w:r>
      <w:r>
        <w:rPr>
          <w:rFonts w:hint="eastAsia"/>
        </w:rPr>
        <w:t>9</w:t>
      </w:r>
      <w:r>
        <w:t>页面上的</w:t>
      </w:r>
      <w:r>
        <w:rPr>
          <w:rFonts w:hint="eastAsia"/>
        </w:rPr>
        <w:t>“提交”按钮可对维护的产品信息进行提交操作。</w:t>
      </w:r>
    </w:p>
    <w:p w14:paraId="778E7163">
      <w:pPr>
        <w:rPr>
          <w:b/>
          <w:bCs/>
        </w:rPr>
      </w:pPr>
      <w:r>
        <w:rPr>
          <w:rFonts w:hint="eastAsia"/>
          <w:b/>
          <w:bCs/>
        </w:rPr>
        <w:t>注意事项：</w:t>
      </w:r>
    </w:p>
    <w:p w14:paraId="68AC3C7F">
      <w:pPr>
        <w:pStyle w:val="14"/>
        <w:ind w:left="420" w:leftChars="200" w:firstLine="0" w:firstLineChars="0"/>
        <w:rPr>
          <w:b/>
          <w:bCs/>
          <w:color w:val="FF0000"/>
          <w:szCs w:val="21"/>
        </w:rPr>
      </w:pPr>
      <w:r>
        <w:rPr>
          <w:rFonts w:hint="eastAsia"/>
          <w:b/>
          <w:bCs/>
          <w:color w:val="FF0000"/>
          <w:szCs w:val="21"/>
        </w:rPr>
        <w:t>1.带*号的是必填项；</w:t>
      </w:r>
    </w:p>
    <w:p w14:paraId="60181C9E">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7E7FC9A1">
      <w:pPr>
        <w:pStyle w:val="14"/>
        <w:ind w:firstLine="422"/>
        <w:rPr>
          <w:b/>
          <w:bCs/>
          <w:color w:val="FF0000"/>
          <w:szCs w:val="21"/>
        </w:rPr>
      </w:pPr>
      <w:r>
        <w:rPr>
          <w:rFonts w:hint="eastAsia"/>
          <w:b/>
          <w:bCs/>
          <w:color w:val="FF0000"/>
          <w:szCs w:val="21"/>
        </w:rPr>
        <w:t>3.产品类型生产企业角色默认为“国产”、经营企业角色默认为“进口”、生产及经营企业可点击下拉框进行选择对应产品类型；</w:t>
      </w:r>
      <w:r>
        <w:rPr>
          <w:b/>
          <w:bCs/>
          <w:color w:val="FF0000"/>
          <w:szCs w:val="21"/>
        </w:rPr>
        <w:t xml:space="preserve"> </w:t>
      </w:r>
    </w:p>
    <w:p w14:paraId="7664BB72">
      <w:pPr>
        <w:pStyle w:val="14"/>
        <w:ind w:firstLine="422"/>
        <w:rPr>
          <w:color w:val="000000" w:themeColor="text1"/>
          <w14:textFill>
            <w14:solidFill>
              <w14:schemeClr w14:val="tx1"/>
            </w14:solidFill>
          </w14:textFill>
        </w:rPr>
      </w:pPr>
      <w:r>
        <w:rPr>
          <w:rFonts w:hint="eastAsia"/>
          <w:b/>
          <w:bCs/>
          <w:color w:val="FF0000"/>
          <w:szCs w:val="21"/>
        </w:rPr>
        <w:t>4.产品信息不可重复新增，交易规则为：实际通用名、剂型、规格、材质、批准文号、产品属性、转换系数、最小包装单位、生产企业；</w:t>
      </w:r>
    </w:p>
    <w:p w14:paraId="44D2FDB6">
      <w:pPr>
        <w:ind w:firstLine="420"/>
        <w:rPr>
          <w:b/>
          <w:bCs/>
          <w:color w:val="FF0000"/>
          <w:szCs w:val="21"/>
        </w:rPr>
      </w:pPr>
      <w:r>
        <w:rPr>
          <w:rFonts w:hint="eastAsia"/>
          <w:b/>
          <w:bCs/>
          <w:color w:val="FF0000"/>
          <w:szCs w:val="21"/>
        </w:rPr>
        <w:t>5.产品信息提交后不可进行修改。</w:t>
      </w:r>
    </w:p>
    <w:p w14:paraId="288329C5">
      <w:pPr>
        <w:outlineLvl w:val="4"/>
        <w:rPr>
          <w:b/>
          <w:bCs/>
        </w:rPr>
      </w:pPr>
      <w:r>
        <w:rPr>
          <w:rFonts w:hint="eastAsia"/>
          <w:b/>
          <w:bCs/>
        </w:rPr>
        <w:t>1.1.2.2.</w:t>
      </w:r>
      <w:r>
        <w:rPr>
          <w:b/>
          <w:bCs/>
        </w:rPr>
        <w:t>2.已提交待审核</w:t>
      </w:r>
      <w:r>
        <w:rPr>
          <w:rFonts w:hint="eastAsia"/>
          <w:b/>
          <w:bCs/>
        </w:rPr>
        <w:t>页面</w:t>
      </w:r>
    </w:p>
    <w:p w14:paraId="6D7760B7">
      <w:pPr>
        <w:ind w:firstLine="420" w:firstLineChars="200"/>
      </w:pPr>
      <w:r>
        <w:t>点击“产品申报”页面</w:t>
      </w:r>
      <w:r>
        <w:rPr>
          <w:rFonts w:hint="eastAsia"/>
        </w:rPr>
        <w:t>的</w:t>
      </w:r>
      <w:r>
        <w:t>“已提交待审核”页</w:t>
      </w:r>
      <w:r>
        <w:rPr>
          <w:rFonts w:hint="eastAsia"/>
        </w:rPr>
        <w:t>面</w:t>
      </w:r>
      <w:r>
        <w:t>，</w:t>
      </w:r>
      <w:r>
        <w:rPr>
          <w:rFonts w:hint="eastAsia"/>
        </w:rPr>
        <w:t>在该页面上展示所有已提交待审核的产品信息（如图20所示），可在该页面上可对已提交待审核的产品信息进行撤回操作。</w:t>
      </w:r>
    </w:p>
    <w:p w14:paraId="3A9D0EFA">
      <w:r>
        <w:drawing>
          <wp:inline distT="0" distB="0" distL="114300" distR="114300">
            <wp:extent cx="5273040" cy="2476500"/>
            <wp:effectExtent l="0" t="0" r="0" b="7620"/>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26" cstate="print"/>
                    <a:stretch>
                      <a:fillRect/>
                    </a:stretch>
                  </pic:blipFill>
                  <pic:spPr>
                    <a:xfrm>
                      <a:off x="0" y="0"/>
                      <a:ext cx="5273040" cy="2476500"/>
                    </a:xfrm>
                    <a:prstGeom prst="rect">
                      <a:avLst/>
                    </a:prstGeom>
                    <a:noFill/>
                    <a:ln>
                      <a:noFill/>
                    </a:ln>
                  </pic:spPr>
                </pic:pic>
              </a:graphicData>
            </a:graphic>
          </wp:inline>
        </w:drawing>
      </w:r>
    </w:p>
    <w:p w14:paraId="14D58BC9">
      <w:pPr>
        <w:jc w:val="center"/>
      </w:pPr>
      <w:r>
        <w:rPr>
          <w:rFonts w:hint="eastAsia"/>
        </w:rPr>
        <w:t>图20</w:t>
      </w:r>
    </w:p>
    <w:p w14:paraId="43E6B709">
      <w:pPr>
        <w:outlineLvl w:val="4"/>
        <w:rPr>
          <w:b/>
          <w:bCs/>
        </w:rPr>
      </w:pPr>
      <w:r>
        <w:rPr>
          <w:rFonts w:hint="eastAsia"/>
          <w:b/>
          <w:bCs/>
        </w:rPr>
        <w:t>1.1.2.2.</w:t>
      </w:r>
      <w:r>
        <w:rPr>
          <w:b/>
          <w:bCs/>
        </w:rPr>
        <w:t>2.</w:t>
      </w:r>
      <w:r>
        <w:rPr>
          <w:rFonts w:hint="eastAsia"/>
          <w:b/>
          <w:bCs/>
        </w:rPr>
        <w:t>初审通过页面</w:t>
      </w:r>
    </w:p>
    <w:p w14:paraId="14C54169">
      <w:pPr>
        <w:ind w:firstLine="420" w:firstLineChars="200"/>
      </w:pPr>
      <w:r>
        <w:rPr>
          <w:rFonts w:hint="eastAsia"/>
        </w:rPr>
        <w:t>点击“产品申报”页面上的“初审通过”</w:t>
      </w:r>
      <w:r>
        <w:t>页</w:t>
      </w:r>
      <w:r>
        <w:rPr>
          <w:rFonts w:hint="eastAsia"/>
        </w:rPr>
        <w:t>面，在该页面上展示所有初审通过的产品信息（如图21所示），可对审核通过的信息进行详情查看操作。</w:t>
      </w:r>
    </w:p>
    <w:p w14:paraId="4D57BB61">
      <w:r>
        <w:drawing>
          <wp:inline distT="0" distB="0" distL="114300" distR="114300">
            <wp:extent cx="5273040" cy="2171700"/>
            <wp:effectExtent l="0" t="0" r="0" b="7620"/>
            <wp:docPr id="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9"/>
                    <pic:cNvPicPr>
                      <a:picLocks noChangeAspect="1"/>
                    </pic:cNvPicPr>
                  </pic:nvPicPr>
                  <pic:blipFill>
                    <a:blip r:embed="rId27" cstate="print"/>
                    <a:stretch>
                      <a:fillRect/>
                    </a:stretch>
                  </pic:blipFill>
                  <pic:spPr>
                    <a:xfrm>
                      <a:off x="0" y="0"/>
                      <a:ext cx="5273040" cy="2171700"/>
                    </a:xfrm>
                    <a:prstGeom prst="rect">
                      <a:avLst/>
                    </a:prstGeom>
                    <a:noFill/>
                    <a:ln>
                      <a:noFill/>
                    </a:ln>
                  </pic:spPr>
                </pic:pic>
              </a:graphicData>
            </a:graphic>
          </wp:inline>
        </w:drawing>
      </w:r>
    </w:p>
    <w:p w14:paraId="4F64BE79">
      <w:pPr>
        <w:jc w:val="center"/>
      </w:pPr>
      <w:r>
        <w:rPr>
          <w:rFonts w:hint="eastAsia"/>
        </w:rPr>
        <w:t>图21</w:t>
      </w:r>
    </w:p>
    <w:p w14:paraId="234EE6B6">
      <w:pPr>
        <w:outlineLvl w:val="4"/>
        <w:rPr>
          <w:b/>
          <w:bCs/>
        </w:rPr>
      </w:pPr>
      <w:r>
        <w:rPr>
          <w:rFonts w:hint="eastAsia"/>
          <w:b/>
          <w:bCs/>
        </w:rPr>
        <w:t>1.1.2.2.3</w:t>
      </w:r>
      <w:r>
        <w:rPr>
          <w:b/>
          <w:bCs/>
        </w:rPr>
        <w:t>.</w:t>
      </w:r>
      <w:r>
        <w:rPr>
          <w:rFonts w:hint="eastAsia"/>
          <w:b/>
          <w:bCs/>
        </w:rPr>
        <w:t>初审不通过页面</w:t>
      </w:r>
    </w:p>
    <w:p w14:paraId="3552EEE8">
      <w:pPr>
        <w:ind w:firstLine="420" w:firstLineChars="200"/>
      </w:pPr>
      <w:r>
        <w:rPr>
          <w:rFonts w:hint="eastAsia"/>
        </w:rPr>
        <w:t>点击“产品申报”页面上的“初审不通过”页面，在该页面上展示所有初审不通过的产品信息（如图22所示），点击“修改”按钮进入修改页面（如图23所示），在修改页面上可对初审不通过的产品信息进行修改及提交操作。</w:t>
      </w:r>
    </w:p>
    <w:p w14:paraId="31811140">
      <w:r>
        <w:drawing>
          <wp:inline distT="0" distB="0" distL="114300" distR="114300">
            <wp:extent cx="5273040" cy="2164080"/>
            <wp:effectExtent l="0" t="0" r="0" b="0"/>
            <wp:docPr id="8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0"/>
                    <pic:cNvPicPr>
                      <a:picLocks noChangeAspect="1"/>
                    </pic:cNvPicPr>
                  </pic:nvPicPr>
                  <pic:blipFill>
                    <a:blip r:embed="rId28" cstate="print"/>
                    <a:stretch>
                      <a:fillRect/>
                    </a:stretch>
                  </pic:blipFill>
                  <pic:spPr>
                    <a:xfrm>
                      <a:off x="0" y="0"/>
                      <a:ext cx="5273040" cy="2164080"/>
                    </a:xfrm>
                    <a:prstGeom prst="rect">
                      <a:avLst/>
                    </a:prstGeom>
                    <a:noFill/>
                    <a:ln>
                      <a:noFill/>
                    </a:ln>
                  </pic:spPr>
                </pic:pic>
              </a:graphicData>
            </a:graphic>
          </wp:inline>
        </w:drawing>
      </w:r>
    </w:p>
    <w:p w14:paraId="54D75F75">
      <w:pPr>
        <w:jc w:val="center"/>
      </w:pPr>
      <w:r>
        <w:rPr>
          <w:rFonts w:hint="eastAsia"/>
        </w:rPr>
        <w:t>图22</w:t>
      </w:r>
    </w:p>
    <w:p w14:paraId="0784B795">
      <w:pPr>
        <w:jc w:val="center"/>
      </w:pPr>
      <w:r>
        <w:drawing>
          <wp:inline distT="0" distB="0" distL="114300" distR="114300">
            <wp:extent cx="5273040" cy="2240280"/>
            <wp:effectExtent l="0" t="0" r="0" b="0"/>
            <wp:docPr id="8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1"/>
                    <pic:cNvPicPr>
                      <a:picLocks noChangeAspect="1"/>
                    </pic:cNvPicPr>
                  </pic:nvPicPr>
                  <pic:blipFill>
                    <a:blip r:embed="rId29" cstate="print"/>
                    <a:stretch>
                      <a:fillRect/>
                    </a:stretch>
                  </pic:blipFill>
                  <pic:spPr>
                    <a:xfrm>
                      <a:off x="0" y="0"/>
                      <a:ext cx="5273040" cy="2240280"/>
                    </a:xfrm>
                    <a:prstGeom prst="rect">
                      <a:avLst/>
                    </a:prstGeom>
                    <a:noFill/>
                    <a:ln>
                      <a:noFill/>
                    </a:ln>
                  </pic:spPr>
                </pic:pic>
              </a:graphicData>
            </a:graphic>
          </wp:inline>
        </w:drawing>
      </w:r>
    </w:p>
    <w:p w14:paraId="4FCFC128">
      <w:pPr>
        <w:jc w:val="center"/>
      </w:pPr>
      <w:r>
        <w:rPr>
          <w:rFonts w:hint="eastAsia"/>
        </w:rPr>
        <w:t>图23</w:t>
      </w:r>
    </w:p>
    <w:p w14:paraId="71C7AC90">
      <w:pPr>
        <w:jc w:val="both"/>
        <w:rPr>
          <w:b/>
          <w:bCs/>
        </w:rPr>
      </w:pPr>
      <w:r>
        <w:rPr>
          <w:rFonts w:hint="eastAsia"/>
          <w:b/>
          <w:bCs/>
        </w:rPr>
        <w:t>功能描述</w:t>
      </w:r>
    </w:p>
    <w:p w14:paraId="647EBEC7">
      <w:pPr>
        <w:numPr>
          <w:ilvl w:val="0"/>
          <w:numId w:val="8"/>
        </w:numPr>
        <w:ind w:firstLine="420" w:firstLineChars="200"/>
        <w:jc w:val="both"/>
      </w:pPr>
      <w:r>
        <w:rPr>
          <w:rFonts w:hint="eastAsia"/>
        </w:rPr>
        <w:t>点击图22页面上的“修改”按钮可对初审不通过的产品信息进行修改及提交操作。</w:t>
      </w:r>
    </w:p>
    <w:p w14:paraId="764312C2">
      <w:pPr>
        <w:numPr>
          <w:ilvl w:val="0"/>
          <w:numId w:val="8"/>
        </w:numPr>
        <w:ind w:firstLine="420" w:firstLineChars="200"/>
        <w:jc w:val="both"/>
      </w:pPr>
      <w:r>
        <w:rPr>
          <w:rFonts w:hint="eastAsia"/>
        </w:rPr>
        <w:t>点击图22页面上的“查看”按钮可对该产品详细信息进行查看。</w:t>
      </w:r>
    </w:p>
    <w:p w14:paraId="2614E647">
      <w:pPr>
        <w:numPr>
          <w:ilvl w:val="0"/>
          <w:numId w:val="8"/>
        </w:numPr>
        <w:ind w:firstLine="420" w:firstLineChars="200"/>
        <w:jc w:val="both"/>
      </w:pPr>
      <w:r>
        <w:rPr>
          <w:rFonts w:hint="eastAsia"/>
        </w:rPr>
        <w:t>点击图23页面上的“保存”按钮可对修改的信息进行保存操作。</w:t>
      </w:r>
    </w:p>
    <w:p w14:paraId="3240E9BD">
      <w:pPr>
        <w:numPr>
          <w:ilvl w:val="0"/>
          <w:numId w:val="8"/>
        </w:numPr>
        <w:ind w:firstLine="420" w:firstLineChars="200"/>
        <w:jc w:val="both"/>
      </w:pPr>
      <w:r>
        <w:rPr>
          <w:rFonts w:hint="eastAsia"/>
        </w:rPr>
        <w:t>点击23页面上的“提交”按钮可对修改的信息进行提交操作。</w:t>
      </w:r>
    </w:p>
    <w:p w14:paraId="4C15AB00">
      <w:pPr>
        <w:jc w:val="both"/>
        <w:rPr>
          <w:b/>
          <w:bCs/>
        </w:rPr>
      </w:pPr>
      <w:r>
        <w:rPr>
          <w:rFonts w:hint="eastAsia"/>
          <w:b/>
          <w:bCs/>
        </w:rPr>
        <w:t>注意事项：</w:t>
      </w:r>
    </w:p>
    <w:p w14:paraId="5AFFB067">
      <w:pPr>
        <w:numPr>
          <w:ilvl w:val="0"/>
          <w:numId w:val="9"/>
        </w:numPr>
        <w:ind w:firstLine="422" w:firstLineChars="200"/>
        <w:jc w:val="both"/>
        <w:rPr>
          <w:b/>
          <w:bCs/>
          <w:color w:val="FF0000"/>
          <w:szCs w:val="21"/>
        </w:rPr>
      </w:pPr>
      <w:r>
        <w:rPr>
          <w:rFonts w:hint="eastAsia"/>
          <w:b/>
          <w:bCs/>
          <w:color w:val="FF0000"/>
          <w:szCs w:val="21"/>
        </w:rPr>
        <w:t>在图23页面上带*的字段为必填项；</w:t>
      </w:r>
    </w:p>
    <w:p w14:paraId="1F08DC7A">
      <w:pPr>
        <w:pStyle w:val="14"/>
        <w:numPr>
          <w:ilvl w:val="0"/>
          <w:numId w:val="9"/>
        </w:numPr>
        <w:ind w:firstLine="422"/>
        <w:rPr>
          <w:b/>
          <w:bCs/>
          <w:color w:val="FF0000"/>
          <w:szCs w:val="21"/>
        </w:rPr>
      </w:pPr>
      <w:r>
        <w:rPr>
          <w:rFonts w:hint="eastAsia"/>
          <w:b/>
          <w:bCs/>
          <w:color w:val="FF0000"/>
          <w:szCs w:val="21"/>
        </w:rPr>
        <w:t>没有填写或者漏填时，会有相应的提示信息；</w:t>
      </w:r>
    </w:p>
    <w:p w14:paraId="7E576FBE">
      <w:pPr>
        <w:pStyle w:val="14"/>
        <w:numPr>
          <w:ilvl w:val="0"/>
          <w:numId w:val="9"/>
        </w:numPr>
        <w:ind w:firstLine="422"/>
        <w:rPr>
          <w:b/>
          <w:bCs/>
          <w:color w:val="FF0000"/>
          <w:szCs w:val="21"/>
        </w:rPr>
      </w:pPr>
      <w:r>
        <w:rPr>
          <w:rFonts w:hint="eastAsia"/>
          <w:b/>
          <w:bCs/>
          <w:color w:val="FF0000"/>
          <w:szCs w:val="21"/>
        </w:rPr>
        <w:t>修改完成的信息必须进行保存操作；</w:t>
      </w:r>
    </w:p>
    <w:p w14:paraId="16E92570">
      <w:pPr>
        <w:pStyle w:val="14"/>
        <w:numPr>
          <w:ilvl w:val="0"/>
          <w:numId w:val="9"/>
        </w:numPr>
        <w:ind w:firstLine="422"/>
        <w:rPr>
          <w:b/>
          <w:bCs/>
          <w:color w:val="FF0000"/>
          <w:szCs w:val="21"/>
        </w:rPr>
      </w:pPr>
      <w:r>
        <w:rPr>
          <w:rFonts w:hint="eastAsia"/>
          <w:b/>
          <w:bCs/>
          <w:color w:val="FF0000"/>
          <w:szCs w:val="21"/>
        </w:rPr>
        <w:t>修改完成的信息确认无误后必须再次进行提交操作。</w:t>
      </w:r>
    </w:p>
    <w:p w14:paraId="5739E6B3">
      <w:pPr>
        <w:outlineLvl w:val="4"/>
        <w:rPr>
          <w:b/>
          <w:bCs/>
        </w:rPr>
      </w:pPr>
      <w:r>
        <w:rPr>
          <w:rFonts w:hint="eastAsia"/>
          <w:b/>
          <w:bCs/>
        </w:rPr>
        <w:t>1.1.2.2.4</w:t>
      </w:r>
      <w:r>
        <w:rPr>
          <w:b/>
          <w:bCs/>
        </w:rPr>
        <w:t>.</w:t>
      </w:r>
      <w:r>
        <w:rPr>
          <w:rFonts w:hint="eastAsia"/>
          <w:b/>
          <w:bCs/>
        </w:rPr>
        <w:t>复审页面</w:t>
      </w:r>
    </w:p>
    <w:p w14:paraId="60E4D2AD">
      <w:pPr>
        <w:ind w:firstLine="420" w:firstLineChars="200"/>
      </w:pPr>
      <w:r>
        <w:rPr>
          <w:rFonts w:hint="eastAsia"/>
        </w:rPr>
        <w:t>点击“产品申报”页面上的“复审通过”页面，在该页面上展示所有复审通过的产品信息（如图24所示），在该页面上可对复审通过的信息进行详情查看操作。</w:t>
      </w:r>
    </w:p>
    <w:p w14:paraId="3D663BE7">
      <w:r>
        <w:drawing>
          <wp:inline distT="0" distB="0" distL="114300" distR="114300">
            <wp:extent cx="5273040" cy="2476500"/>
            <wp:effectExtent l="0" t="0" r="0" b="7620"/>
            <wp:docPr id="8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2"/>
                    <pic:cNvPicPr>
                      <a:picLocks noChangeAspect="1"/>
                    </pic:cNvPicPr>
                  </pic:nvPicPr>
                  <pic:blipFill>
                    <a:blip r:embed="rId30" cstate="print"/>
                    <a:stretch>
                      <a:fillRect/>
                    </a:stretch>
                  </pic:blipFill>
                  <pic:spPr>
                    <a:xfrm>
                      <a:off x="0" y="0"/>
                      <a:ext cx="5273040" cy="2476500"/>
                    </a:xfrm>
                    <a:prstGeom prst="rect">
                      <a:avLst/>
                    </a:prstGeom>
                    <a:noFill/>
                    <a:ln>
                      <a:noFill/>
                    </a:ln>
                  </pic:spPr>
                </pic:pic>
              </a:graphicData>
            </a:graphic>
          </wp:inline>
        </w:drawing>
      </w:r>
    </w:p>
    <w:p w14:paraId="2881E6D8">
      <w:pPr>
        <w:jc w:val="center"/>
      </w:pPr>
      <w:r>
        <w:rPr>
          <w:rFonts w:hint="eastAsia"/>
        </w:rPr>
        <w:t>图24</w:t>
      </w:r>
    </w:p>
    <w:p w14:paraId="6E1AB6DA">
      <w:pPr>
        <w:outlineLvl w:val="4"/>
        <w:rPr>
          <w:b/>
          <w:bCs/>
        </w:rPr>
      </w:pPr>
      <w:r>
        <w:rPr>
          <w:rFonts w:hint="eastAsia"/>
          <w:b/>
          <w:bCs/>
        </w:rPr>
        <w:t>1.1.2.2.5</w:t>
      </w:r>
      <w:r>
        <w:rPr>
          <w:b/>
          <w:bCs/>
        </w:rPr>
        <w:t>.</w:t>
      </w:r>
      <w:r>
        <w:rPr>
          <w:rFonts w:hint="eastAsia"/>
          <w:b/>
          <w:bCs/>
        </w:rPr>
        <w:t>复审不通过页面</w:t>
      </w:r>
    </w:p>
    <w:p w14:paraId="60B6347A">
      <w:pPr>
        <w:ind w:firstLine="420" w:firstLineChars="200"/>
      </w:pPr>
      <w:r>
        <w:rPr>
          <w:rFonts w:hint="eastAsia"/>
        </w:rPr>
        <w:t>点击“产品申报”页面上的“复审不通过”</w:t>
      </w:r>
      <w:r>
        <w:t>页</w:t>
      </w:r>
      <w:r>
        <w:rPr>
          <w:rFonts w:hint="eastAsia"/>
        </w:rPr>
        <w:t>面，在该页面上展示所有复审不通过的产品信息（如图25所示），点击“修改”按钮进入修改页面（如图26所示），在修改页面上可对复审不通过的产品信息进行修改及提交操作。</w:t>
      </w:r>
    </w:p>
    <w:p w14:paraId="014379EE">
      <w:r>
        <w:drawing>
          <wp:inline distT="0" distB="0" distL="114300" distR="114300">
            <wp:extent cx="5273040" cy="2476500"/>
            <wp:effectExtent l="0" t="0" r="0" b="762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pic:cNvPicPr>
                  </pic:nvPicPr>
                  <pic:blipFill>
                    <a:blip r:embed="rId31" cstate="print"/>
                    <a:stretch>
                      <a:fillRect/>
                    </a:stretch>
                  </pic:blipFill>
                  <pic:spPr>
                    <a:xfrm>
                      <a:off x="0" y="0"/>
                      <a:ext cx="5273040" cy="2476500"/>
                    </a:xfrm>
                    <a:prstGeom prst="rect">
                      <a:avLst/>
                    </a:prstGeom>
                    <a:noFill/>
                    <a:ln>
                      <a:noFill/>
                    </a:ln>
                  </pic:spPr>
                </pic:pic>
              </a:graphicData>
            </a:graphic>
          </wp:inline>
        </w:drawing>
      </w:r>
    </w:p>
    <w:p w14:paraId="6D4DBABF">
      <w:pPr>
        <w:jc w:val="center"/>
      </w:pPr>
      <w:r>
        <w:rPr>
          <w:rFonts w:hint="eastAsia"/>
        </w:rPr>
        <w:t>图25</w:t>
      </w:r>
    </w:p>
    <w:p w14:paraId="2A7B5EAA">
      <w:pPr>
        <w:jc w:val="center"/>
      </w:pPr>
      <w:r>
        <w:drawing>
          <wp:inline distT="0" distB="0" distL="114300" distR="114300">
            <wp:extent cx="5273040" cy="2476500"/>
            <wp:effectExtent l="0" t="0" r="0" b="7620"/>
            <wp:docPr id="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pic:cNvPicPr>
                      <a:picLocks noChangeAspect="1"/>
                    </pic:cNvPicPr>
                  </pic:nvPicPr>
                  <pic:blipFill>
                    <a:blip r:embed="rId32" cstate="print"/>
                    <a:stretch>
                      <a:fillRect/>
                    </a:stretch>
                  </pic:blipFill>
                  <pic:spPr>
                    <a:xfrm>
                      <a:off x="0" y="0"/>
                      <a:ext cx="5273040" cy="2476500"/>
                    </a:xfrm>
                    <a:prstGeom prst="rect">
                      <a:avLst/>
                    </a:prstGeom>
                    <a:noFill/>
                    <a:ln>
                      <a:noFill/>
                    </a:ln>
                  </pic:spPr>
                </pic:pic>
              </a:graphicData>
            </a:graphic>
          </wp:inline>
        </w:drawing>
      </w:r>
    </w:p>
    <w:p w14:paraId="592A4AEA">
      <w:pPr>
        <w:jc w:val="center"/>
      </w:pPr>
      <w:r>
        <w:rPr>
          <w:rFonts w:hint="eastAsia"/>
        </w:rPr>
        <w:t>图26</w:t>
      </w:r>
    </w:p>
    <w:p w14:paraId="61A95808">
      <w:pPr>
        <w:jc w:val="both"/>
        <w:rPr>
          <w:b/>
          <w:bCs/>
        </w:rPr>
      </w:pPr>
      <w:r>
        <w:rPr>
          <w:rFonts w:hint="eastAsia"/>
          <w:b/>
          <w:bCs/>
        </w:rPr>
        <w:t>功能描述</w:t>
      </w:r>
    </w:p>
    <w:p w14:paraId="5488209A">
      <w:pPr>
        <w:numPr>
          <w:ilvl w:val="0"/>
          <w:numId w:val="10"/>
        </w:numPr>
        <w:ind w:firstLine="420" w:firstLineChars="200"/>
        <w:jc w:val="both"/>
      </w:pPr>
      <w:r>
        <w:rPr>
          <w:rFonts w:hint="eastAsia"/>
        </w:rPr>
        <w:t>点击图25页面上的“修改”按钮可对复审不通过的产品信息进行修改及提交操作。</w:t>
      </w:r>
    </w:p>
    <w:p w14:paraId="5D448C31">
      <w:pPr>
        <w:numPr>
          <w:ilvl w:val="0"/>
          <w:numId w:val="10"/>
        </w:numPr>
        <w:ind w:firstLine="420" w:firstLineChars="200"/>
        <w:jc w:val="both"/>
      </w:pPr>
      <w:r>
        <w:rPr>
          <w:rFonts w:hint="eastAsia"/>
        </w:rPr>
        <w:t>点击图25页面上的“查看”按钮可对该产品详细信息进行查看。</w:t>
      </w:r>
    </w:p>
    <w:p w14:paraId="3568709D">
      <w:pPr>
        <w:numPr>
          <w:ilvl w:val="0"/>
          <w:numId w:val="10"/>
        </w:numPr>
        <w:ind w:firstLine="420" w:firstLineChars="200"/>
        <w:jc w:val="both"/>
      </w:pPr>
      <w:r>
        <w:rPr>
          <w:rFonts w:hint="eastAsia"/>
        </w:rPr>
        <w:t>点击图26页面上的“保存”按钮可对修改的信息进行保存操作。</w:t>
      </w:r>
    </w:p>
    <w:p w14:paraId="4AFF2527">
      <w:pPr>
        <w:numPr>
          <w:ilvl w:val="0"/>
          <w:numId w:val="10"/>
        </w:numPr>
        <w:ind w:firstLine="420" w:firstLineChars="200"/>
        <w:jc w:val="both"/>
      </w:pPr>
      <w:r>
        <w:rPr>
          <w:rFonts w:hint="eastAsia"/>
        </w:rPr>
        <w:t>点击图26页面上的“提交”按钮可对修改的信息进行提交操作。</w:t>
      </w:r>
    </w:p>
    <w:p w14:paraId="0DD1B854">
      <w:pPr>
        <w:jc w:val="both"/>
        <w:rPr>
          <w:b/>
          <w:bCs/>
        </w:rPr>
      </w:pPr>
      <w:r>
        <w:rPr>
          <w:rFonts w:hint="eastAsia"/>
          <w:b/>
          <w:bCs/>
        </w:rPr>
        <w:t>注意事项：</w:t>
      </w:r>
    </w:p>
    <w:p w14:paraId="572E31B1">
      <w:pPr>
        <w:numPr>
          <w:ilvl w:val="0"/>
          <w:numId w:val="11"/>
        </w:numPr>
        <w:ind w:firstLine="422" w:firstLineChars="200"/>
        <w:jc w:val="both"/>
        <w:rPr>
          <w:b/>
          <w:bCs/>
          <w:color w:val="FF0000"/>
          <w:szCs w:val="21"/>
        </w:rPr>
      </w:pPr>
      <w:r>
        <w:rPr>
          <w:rFonts w:hint="eastAsia"/>
          <w:b/>
          <w:bCs/>
          <w:color w:val="FF0000"/>
          <w:szCs w:val="21"/>
        </w:rPr>
        <w:t>在图26页面上带*的字段为必填项；</w:t>
      </w:r>
    </w:p>
    <w:p w14:paraId="7975167E">
      <w:pPr>
        <w:pStyle w:val="14"/>
        <w:numPr>
          <w:ilvl w:val="0"/>
          <w:numId w:val="11"/>
        </w:numPr>
        <w:ind w:firstLine="422"/>
        <w:rPr>
          <w:b/>
          <w:bCs/>
          <w:color w:val="FF0000"/>
          <w:szCs w:val="21"/>
        </w:rPr>
      </w:pPr>
      <w:r>
        <w:rPr>
          <w:rFonts w:hint="eastAsia"/>
          <w:b/>
          <w:bCs/>
          <w:color w:val="FF0000"/>
          <w:szCs w:val="21"/>
        </w:rPr>
        <w:t>没有填写或者漏填时，会有相应的提示信息；</w:t>
      </w:r>
    </w:p>
    <w:p w14:paraId="5E4748EF">
      <w:pPr>
        <w:pStyle w:val="14"/>
        <w:numPr>
          <w:ilvl w:val="0"/>
          <w:numId w:val="11"/>
        </w:numPr>
        <w:ind w:firstLine="422"/>
        <w:rPr>
          <w:b/>
          <w:bCs/>
          <w:color w:val="FF0000"/>
          <w:szCs w:val="21"/>
        </w:rPr>
      </w:pPr>
      <w:r>
        <w:rPr>
          <w:rFonts w:hint="eastAsia"/>
          <w:b/>
          <w:bCs/>
          <w:color w:val="FF0000"/>
          <w:szCs w:val="21"/>
        </w:rPr>
        <w:t>修改完成的信息必须进行保存操作；</w:t>
      </w:r>
    </w:p>
    <w:p w14:paraId="7E347EA7">
      <w:pPr>
        <w:pStyle w:val="14"/>
        <w:numPr>
          <w:ilvl w:val="0"/>
          <w:numId w:val="11"/>
        </w:numPr>
        <w:ind w:firstLine="422"/>
        <w:rPr>
          <w:b/>
          <w:bCs/>
          <w:color w:val="FF0000"/>
          <w:szCs w:val="21"/>
        </w:rPr>
      </w:pPr>
      <w:r>
        <w:rPr>
          <w:rFonts w:hint="eastAsia"/>
          <w:b/>
          <w:bCs/>
          <w:color w:val="FF0000"/>
          <w:szCs w:val="21"/>
        </w:rPr>
        <w:t>修改完成的信息确认无误后必须再次进行提交操作。</w:t>
      </w:r>
    </w:p>
    <w:p w14:paraId="0AC18E4C">
      <w:pPr>
        <w:outlineLvl w:val="4"/>
        <w:rPr>
          <w:b/>
          <w:bCs/>
        </w:rPr>
      </w:pPr>
      <w:r>
        <w:rPr>
          <w:rFonts w:hint="eastAsia"/>
          <w:b/>
          <w:bCs/>
        </w:rPr>
        <w:t>1.1.2.2.5</w:t>
      </w:r>
      <w:r>
        <w:rPr>
          <w:b/>
          <w:bCs/>
        </w:rPr>
        <w:t>.</w:t>
      </w:r>
      <w:r>
        <w:rPr>
          <w:rFonts w:hint="eastAsia"/>
          <w:b/>
          <w:bCs/>
        </w:rPr>
        <w:t>全部页面</w:t>
      </w:r>
    </w:p>
    <w:p w14:paraId="69B8877D">
      <w:pPr>
        <w:ind w:firstLine="420" w:firstLineChars="200"/>
      </w:pPr>
      <w:r>
        <w:rPr>
          <w:rFonts w:hint="eastAsia"/>
        </w:rPr>
        <w:t>点击“产品申报”页面上的“全部”</w:t>
      </w:r>
      <w:r>
        <w:t>页</w:t>
      </w:r>
      <w:r>
        <w:rPr>
          <w:rFonts w:hint="eastAsia"/>
        </w:rPr>
        <w:t>面，在该页面上展示所有状态的产品信息（如图27所示），在该页面上可根据查询条件查询不同状态的产品信息。</w:t>
      </w:r>
    </w:p>
    <w:p w14:paraId="65F4BFCD">
      <w:r>
        <w:drawing>
          <wp:inline distT="0" distB="0" distL="114300" distR="114300">
            <wp:extent cx="5273040" cy="2476500"/>
            <wp:effectExtent l="0" t="0" r="0" b="762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33" cstate="print"/>
                    <a:stretch>
                      <a:fillRect/>
                    </a:stretch>
                  </pic:blipFill>
                  <pic:spPr>
                    <a:xfrm>
                      <a:off x="0" y="0"/>
                      <a:ext cx="5273040" cy="2476500"/>
                    </a:xfrm>
                    <a:prstGeom prst="rect">
                      <a:avLst/>
                    </a:prstGeom>
                    <a:noFill/>
                    <a:ln>
                      <a:noFill/>
                    </a:ln>
                  </pic:spPr>
                </pic:pic>
              </a:graphicData>
            </a:graphic>
          </wp:inline>
        </w:drawing>
      </w:r>
    </w:p>
    <w:p w14:paraId="261DF105">
      <w:pPr>
        <w:jc w:val="center"/>
      </w:pPr>
      <w:r>
        <w:rPr>
          <w:rFonts w:hint="eastAsia"/>
        </w:rPr>
        <w:t>图27</w:t>
      </w:r>
    </w:p>
    <w:p w14:paraId="206AB400">
      <w:pPr>
        <w:numPr>
          <w:ilvl w:val="3"/>
          <w:numId w:val="5"/>
        </w:numPr>
        <w:jc w:val="both"/>
        <w:outlineLvl w:val="3"/>
        <w:rPr>
          <w:b/>
          <w:bCs/>
        </w:rPr>
      </w:pPr>
      <w:r>
        <w:rPr>
          <w:rFonts w:hint="eastAsia"/>
          <w:b/>
          <w:bCs/>
        </w:rPr>
        <w:t>企业产品审核公示</w:t>
      </w:r>
    </w:p>
    <w:p w14:paraId="5F51DB57">
      <w:pPr>
        <w:ind w:firstLine="420" w:firstLineChars="200"/>
        <w:jc w:val="both"/>
      </w:pPr>
      <w:r>
        <w:rPr>
          <w:rFonts w:hint="eastAsia"/>
        </w:rPr>
        <w:t>点击【生产企业报名管理】模块下的“企业产品审核公示”链接进入“企业公示”、“产品公示”两个</w:t>
      </w:r>
      <w:r>
        <w:t>页</w:t>
      </w:r>
      <w:r>
        <w:rPr>
          <w:rFonts w:hint="eastAsia"/>
        </w:rPr>
        <w:t>面，点击【企业公示中】</w:t>
      </w:r>
      <w:r>
        <w:t>页</w:t>
      </w:r>
      <w:r>
        <w:rPr>
          <w:rFonts w:hint="eastAsia"/>
        </w:rPr>
        <w:t>面，页面展示该项目所有申报企业的审核情况，如图28所示）。点击【产品公示】</w:t>
      </w:r>
      <w:r>
        <w:t>页</w:t>
      </w:r>
      <w:r>
        <w:rPr>
          <w:rFonts w:hint="eastAsia"/>
        </w:rPr>
        <w:t>面，页面展示该项目所有申报产品的审核情况，如图29所示）。</w:t>
      </w:r>
    </w:p>
    <w:p w14:paraId="019F7BAF">
      <w:pPr>
        <w:jc w:val="both"/>
      </w:pPr>
      <w:r>
        <w:drawing>
          <wp:inline distT="0" distB="0" distL="114300" distR="114300">
            <wp:extent cx="5266690" cy="2474595"/>
            <wp:effectExtent l="0" t="0" r="635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cstate="print"/>
                    <a:stretch>
                      <a:fillRect/>
                    </a:stretch>
                  </pic:blipFill>
                  <pic:spPr>
                    <a:xfrm>
                      <a:off x="0" y="0"/>
                      <a:ext cx="5266690" cy="2474595"/>
                    </a:xfrm>
                    <a:prstGeom prst="rect">
                      <a:avLst/>
                    </a:prstGeom>
                    <a:noFill/>
                    <a:ln>
                      <a:noFill/>
                    </a:ln>
                  </pic:spPr>
                </pic:pic>
              </a:graphicData>
            </a:graphic>
          </wp:inline>
        </w:drawing>
      </w:r>
    </w:p>
    <w:p w14:paraId="66543682">
      <w:pPr>
        <w:jc w:val="center"/>
      </w:pPr>
      <w:r>
        <w:rPr>
          <w:rFonts w:hint="eastAsia"/>
        </w:rPr>
        <w:t>图28</w:t>
      </w:r>
    </w:p>
    <w:p w14:paraId="4FEEBC8B">
      <w:pPr>
        <w:jc w:val="center"/>
      </w:pPr>
      <w:r>
        <w:drawing>
          <wp:inline distT="0" distB="0" distL="114300" distR="114300">
            <wp:extent cx="5266690" cy="2474595"/>
            <wp:effectExtent l="0" t="0" r="6350"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5" cstate="print"/>
                    <a:stretch>
                      <a:fillRect/>
                    </a:stretch>
                  </pic:blipFill>
                  <pic:spPr>
                    <a:xfrm>
                      <a:off x="0" y="0"/>
                      <a:ext cx="5266690" cy="2474595"/>
                    </a:xfrm>
                    <a:prstGeom prst="rect">
                      <a:avLst/>
                    </a:prstGeom>
                    <a:noFill/>
                    <a:ln>
                      <a:noFill/>
                    </a:ln>
                  </pic:spPr>
                </pic:pic>
              </a:graphicData>
            </a:graphic>
          </wp:inline>
        </w:drawing>
      </w:r>
    </w:p>
    <w:p w14:paraId="0D63004F">
      <w:pPr>
        <w:jc w:val="center"/>
      </w:pPr>
      <w:r>
        <w:rPr>
          <w:rFonts w:hint="eastAsia"/>
        </w:rPr>
        <w:t>图29</w:t>
      </w:r>
    </w:p>
    <w:p w14:paraId="75682520">
      <w:pPr>
        <w:rPr>
          <w:b/>
          <w:bCs/>
        </w:rPr>
      </w:pPr>
      <w:r>
        <w:rPr>
          <w:rFonts w:hint="eastAsia"/>
          <w:b/>
          <w:bCs/>
        </w:rPr>
        <w:t>功能描述</w:t>
      </w:r>
    </w:p>
    <w:p w14:paraId="4EF3E98E">
      <w:pPr>
        <w:numPr>
          <w:ilvl w:val="0"/>
          <w:numId w:val="12"/>
        </w:numPr>
      </w:pPr>
      <w:r>
        <w:rPr>
          <w:rFonts w:hint="eastAsia"/>
        </w:rPr>
        <w:t>点击【企业公示中】</w:t>
      </w:r>
      <w:r>
        <w:t>页</w:t>
      </w:r>
      <w:r>
        <w:rPr>
          <w:rFonts w:hint="eastAsia"/>
        </w:rPr>
        <w:t>面，查看该项目所有申报企业的审核情况。</w:t>
      </w:r>
    </w:p>
    <w:p w14:paraId="11CF1022">
      <w:pPr>
        <w:numPr>
          <w:ilvl w:val="0"/>
          <w:numId w:val="12"/>
        </w:numPr>
      </w:pPr>
      <w:r>
        <w:rPr>
          <w:rFonts w:hint="eastAsia"/>
        </w:rPr>
        <w:t>点击【产品公示中】</w:t>
      </w:r>
      <w:r>
        <w:t>页</w:t>
      </w:r>
      <w:r>
        <w:rPr>
          <w:rFonts w:hint="eastAsia"/>
        </w:rPr>
        <w:t>面，查看该项目所有申报产品的审核情况。</w:t>
      </w:r>
    </w:p>
    <w:p w14:paraId="5EFFE443">
      <w:pPr>
        <w:pStyle w:val="14"/>
        <w:ind w:left="420" w:leftChars="200" w:firstLine="0" w:firstLineChars="0"/>
        <w:rPr>
          <w:b/>
          <w:bCs/>
        </w:rPr>
      </w:pPr>
      <w:r>
        <w:rPr>
          <w:rFonts w:hint="eastAsia"/>
          <w:b/>
          <w:bCs/>
        </w:rPr>
        <w:t>注意事项：</w:t>
      </w:r>
    </w:p>
    <w:p w14:paraId="725EB877">
      <w:pPr>
        <w:jc w:val="both"/>
        <w:rPr>
          <w:b/>
          <w:bCs/>
          <w:color w:val="FF0000"/>
          <w:szCs w:val="21"/>
        </w:rPr>
      </w:pPr>
      <w:r>
        <w:rPr>
          <w:rFonts w:hint="eastAsia"/>
          <w:b/>
          <w:bCs/>
          <w:color w:val="FF0000"/>
          <w:szCs w:val="21"/>
        </w:rPr>
        <w:t>公示时间未开启或已结束将无法进行查看。</w:t>
      </w:r>
    </w:p>
    <w:p w14:paraId="4E4C2D44">
      <w:pPr>
        <w:jc w:val="center"/>
      </w:pPr>
    </w:p>
    <w:p w14:paraId="7AD4FF7A">
      <w:pPr>
        <w:numPr>
          <w:ilvl w:val="3"/>
          <w:numId w:val="5"/>
        </w:numPr>
        <w:jc w:val="both"/>
        <w:outlineLvl w:val="3"/>
        <w:rPr>
          <w:b/>
          <w:bCs/>
        </w:rPr>
      </w:pPr>
      <w:r>
        <w:rPr>
          <w:rFonts w:hint="eastAsia"/>
          <w:b/>
          <w:bCs/>
        </w:rPr>
        <w:t>企业产品结果公布</w:t>
      </w:r>
    </w:p>
    <w:p w14:paraId="7AE8CC0B">
      <w:pPr>
        <w:ind w:firstLine="420" w:firstLineChars="200"/>
        <w:jc w:val="both"/>
      </w:pPr>
      <w:r>
        <w:rPr>
          <w:rFonts w:hint="eastAsia"/>
        </w:rPr>
        <w:t>点击【生产企业报名管理】模块下的“企业产品结果公布”链接进入“企业公布”、“产品公布”中两个</w:t>
      </w:r>
      <w:r>
        <w:t>页</w:t>
      </w:r>
      <w:r>
        <w:rPr>
          <w:rFonts w:hint="eastAsia"/>
        </w:rPr>
        <w:t>面，点击【企业公布】</w:t>
      </w:r>
      <w:r>
        <w:t>页</w:t>
      </w:r>
      <w:r>
        <w:rPr>
          <w:rFonts w:hint="eastAsia"/>
        </w:rPr>
        <w:t>面，页面展示该项目所有审核通过的企业，如图30所示）。点击【产品公布】</w:t>
      </w:r>
      <w:r>
        <w:t>页</w:t>
      </w:r>
      <w:r>
        <w:rPr>
          <w:rFonts w:hint="eastAsia"/>
        </w:rPr>
        <w:t>面，页面展示该项目所有审核通过的产品，如图31所示）。</w:t>
      </w:r>
    </w:p>
    <w:p w14:paraId="219A1BA5">
      <w:pPr>
        <w:jc w:val="both"/>
      </w:pPr>
      <w:r>
        <w:drawing>
          <wp:inline distT="0" distB="0" distL="114300" distR="114300">
            <wp:extent cx="5266690" cy="2474595"/>
            <wp:effectExtent l="0" t="0" r="635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6" cstate="print"/>
                    <a:stretch>
                      <a:fillRect/>
                    </a:stretch>
                  </pic:blipFill>
                  <pic:spPr>
                    <a:xfrm>
                      <a:off x="0" y="0"/>
                      <a:ext cx="5266690" cy="2474595"/>
                    </a:xfrm>
                    <a:prstGeom prst="rect">
                      <a:avLst/>
                    </a:prstGeom>
                    <a:noFill/>
                    <a:ln>
                      <a:noFill/>
                    </a:ln>
                  </pic:spPr>
                </pic:pic>
              </a:graphicData>
            </a:graphic>
          </wp:inline>
        </w:drawing>
      </w:r>
    </w:p>
    <w:p w14:paraId="146D649A">
      <w:pPr>
        <w:jc w:val="center"/>
      </w:pPr>
      <w:r>
        <w:rPr>
          <w:rFonts w:hint="eastAsia"/>
        </w:rPr>
        <w:t>图30</w:t>
      </w:r>
    </w:p>
    <w:p w14:paraId="0AFDBB89">
      <w:pPr>
        <w:jc w:val="center"/>
      </w:pPr>
      <w:r>
        <w:drawing>
          <wp:inline distT="0" distB="0" distL="114300" distR="114300">
            <wp:extent cx="5266690" cy="2474595"/>
            <wp:effectExtent l="0" t="0" r="635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7" cstate="print"/>
                    <a:stretch>
                      <a:fillRect/>
                    </a:stretch>
                  </pic:blipFill>
                  <pic:spPr>
                    <a:xfrm>
                      <a:off x="0" y="0"/>
                      <a:ext cx="5266690" cy="2474595"/>
                    </a:xfrm>
                    <a:prstGeom prst="rect">
                      <a:avLst/>
                    </a:prstGeom>
                    <a:noFill/>
                    <a:ln>
                      <a:noFill/>
                    </a:ln>
                  </pic:spPr>
                </pic:pic>
              </a:graphicData>
            </a:graphic>
          </wp:inline>
        </w:drawing>
      </w:r>
    </w:p>
    <w:p w14:paraId="038A6409">
      <w:pPr>
        <w:jc w:val="center"/>
      </w:pPr>
      <w:r>
        <w:rPr>
          <w:rFonts w:hint="eastAsia"/>
        </w:rPr>
        <w:t>图31</w:t>
      </w:r>
    </w:p>
    <w:p w14:paraId="38AB3D14">
      <w:pPr>
        <w:rPr>
          <w:b/>
          <w:bCs/>
        </w:rPr>
      </w:pPr>
      <w:r>
        <w:rPr>
          <w:rFonts w:hint="eastAsia"/>
          <w:b/>
          <w:bCs/>
        </w:rPr>
        <w:t>功能描述</w:t>
      </w:r>
    </w:p>
    <w:p w14:paraId="5C1B018F">
      <w:pPr>
        <w:numPr>
          <w:ilvl w:val="0"/>
          <w:numId w:val="13"/>
        </w:numPr>
      </w:pPr>
      <w:r>
        <w:rPr>
          <w:rFonts w:hint="eastAsia"/>
        </w:rPr>
        <w:t>点击【企业公布】</w:t>
      </w:r>
      <w:r>
        <w:t>页</w:t>
      </w:r>
      <w:r>
        <w:rPr>
          <w:rFonts w:hint="eastAsia"/>
        </w:rPr>
        <w:t>面，查看该项目所有审核通过的企业。</w:t>
      </w:r>
    </w:p>
    <w:p w14:paraId="07A846F3">
      <w:pPr>
        <w:numPr>
          <w:ilvl w:val="0"/>
          <w:numId w:val="13"/>
        </w:numPr>
      </w:pPr>
      <w:r>
        <w:rPr>
          <w:rFonts w:hint="eastAsia"/>
        </w:rPr>
        <w:t>点击【产品公布】</w:t>
      </w:r>
      <w:r>
        <w:t>页</w:t>
      </w:r>
      <w:r>
        <w:rPr>
          <w:rFonts w:hint="eastAsia"/>
        </w:rPr>
        <w:t>面，查看该项目所有审核通过的产品。</w:t>
      </w:r>
    </w:p>
    <w:p w14:paraId="3832E39C">
      <w:pPr>
        <w:pStyle w:val="14"/>
        <w:ind w:left="420" w:leftChars="200" w:firstLine="0" w:firstLineChars="0"/>
        <w:rPr>
          <w:b/>
          <w:bCs/>
        </w:rPr>
      </w:pPr>
      <w:r>
        <w:rPr>
          <w:rFonts w:hint="eastAsia"/>
          <w:b/>
          <w:bCs/>
        </w:rPr>
        <w:t>注意事项：</w:t>
      </w:r>
    </w:p>
    <w:p w14:paraId="6EF726B4">
      <w:pPr>
        <w:jc w:val="both"/>
        <w:rPr>
          <w:b/>
          <w:bCs/>
          <w:color w:val="FF0000"/>
          <w:szCs w:val="21"/>
        </w:rPr>
      </w:pPr>
      <w:r>
        <w:rPr>
          <w:rFonts w:hint="eastAsia"/>
          <w:b/>
          <w:bCs/>
          <w:color w:val="FF0000"/>
          <w:szCs w:val="21"/>
        </w:rPr>
        <w:t>公布时间未开启或已结束将无法进行查看；</w:t>
      </w:r>
    </w:p>
    <w:p w14:paraId="329EADA1">
      <w:pPr>
        <w:jc w:val="center"/>
      </w:pPr>
    </w:p>
    <w:p w14:paraId="7D917DD4">
      <w:pPr>
        <w:numPr>
          <w:ilvl w:val="2"/>
          <w:numId w:val="5"/>
        </w:numPr>
        <w:jc w:val="both"/>
        <w:outlineLvl w:val="2"/>
        <w:rPr>
          <w:b/>
          <w:bCs/>
        </w:rPr>
      </w:pPr>
      <w:r>
        <w:rPr>
          <w:rFonts w:hint="eastAsia"/>
          <w:b/>
          <w:bCs/>
        </w:rPr>
        <w:t>报价管理</w:t>
      </w:r>
    </w:p>
    <w:p w14:paraId="001F52A9">
      <w:pPr>
        <w:jc w:val="both"/>
        <w:outlineLvl w:val="3"/>
        <w:rPr>
          <w:b/>
          <w:bCs/>
        </w:rPr>
      </w:pPr>
      <w:r>
        <w:rPr>
          <w:rFonts w:hint="eastAsia"/>
          <w:b/>
          <w:bCs/>
        </w:rPr>
        <w:t>1.1.3.1.设置报价密码</w:t>
      </w:r>
    </w:p>
    <w:p w14:paraId="7B87A43F">
      <w:pPr>
        <w:ind w:firstLine="420" w:firstLineChars="200"/>
        <w:jc w:val="both"/>
      </w:pPr>
      <w:r>
        <w:rPr>
          <w:rFonts w:hint="eastAsia"/>
        </w:rPr>
        <w:t>点击【报价管理】模块下的“设置报价密码”链接进入报价密码设置页面，在该页面上设置报价所需的报价密码（如图32所示）。</w:t>
      </w:r>
    </w:p>
    <w:p w14:paraId="55BB90E9">
      <w:pPr>
        <w:jc w:val="both"/>
      </w:pPr>
      <w:r>
        <w:drawing>
          <wp:inline distT="0" distB="0" distL="114300" distR="114300">
            <wp:extent cx="5273040" cy="2476500"/>
            <wp:effectExtent l="0" t="0" r="0" b="7620"/>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pic:cNvPicPr>
                      <a:picLocks noChangeAspect="1"/>
                    </pic:cNvPicPr>
                  </pic:nvPicPr>
                  <pic:blipFill>
                    <a:blip r:embed="rId38" cstate="print"/>
                    <a:stretch>
                      <a:fillRect/>
                    </a:stretch>
                  </pic:blipFill>
                  <pic:spPr>
                    <a:xfrm>
                      <a:off x="0" y="0"/>
                      <a:ext cx="5273040" cy="2476500"/>
                    </a:xfrm>
                    <a:prstGeom prst="rect">
                      <a:avLst/>
                    </a:prstGeom>
                    <a:noFill/>
                    <a:ln>
                      <a:noFill/>
                    </a:ln>
                  </pic:spPr>
                </pic:pic>
              </a:graphicData>
            </a:graphic>
          </wp:inline>
        </w:drawing>
      </w:r>
    </w:p>
    <w:p w14:paraId="681CCC2F">
      <w:pPr>
        <w:jc w:val="center"/>
      </w:pPr>
      <w:r>
        <w:rPr>
          <w:rFonts w:hint="eastAsia"/>
        </w:rPr>
        <w:t>图32</w:t>
      </w:r>
    </w:p>
    <w:p w14:paraId="422A3546">
      <w:pPr>
        <w:jc w:val="both"/>
        <w:rPr>
          <w:b/>
          <w:bCs/>
        </w:rPr>
      </w:pPr>
      <w:r>
        <w:rPr>
          <w:rFonts w:hint="eastAsia"/>
          <w:b/>
          <w:bCs/>
        </w:rPr>
        <w:t>注意事项</w:t>
      </w:r>
    </w:p>
    <w:p w14:paraId="6660B9AF">
      <w:pPr>
        <w:ind w:firstLine="422" w:firstLineChars="200"/>
        <w:jc w:val="both"/>
        <w:rPr>
          <w:b/>
          <w:bCs/>
          <w:color w:val="FF0000"/>
        </w:rPr>
      </w:pPr>
      <w:r>
        <w:rPr>
          <w:rFonts w:hint="eastAsia"/>
          <w:b/>
          <w:bCs/>
          <w:color w:val="FF0000"/>
        </w:rPr>
        <w:t>1.请牢记该报价密码，报价密码一经设置后无法再进行修改。该密码用于报价及解密使用。</w:t>
      </w:r>
    </w:p>
    <w:p w14:paraId="01BF372B">
      <w:pPr>
        <w:ind w:firstLine="422" w:firstLineChars="200"/>
        <w:jc w:val="both"/>
        <w:rPr>
          <w:b/>
          <w:bCs/>
          <w:color w:val="FF0000"/>
        </w:rPr>
      </w:pPr>
      <w:r>
        <w:rPr>
          <w:rFonts w:hint="eastAsia"/>
          <w:b/>
          <w:bCs/>
          <w:color w:val="FF0000"/>
        </w:rPr>
        <w:t>2</w:t>
      </w:r>
      <w:r>
        <w:rPr>
          <w:b/>
          <w:bCs/>
          <w:color w:val="FF0000"/>
        </w:rPr>
        <w:t>.</w:t>
      </w:r>
      <w:r>
        <w:rPr>
          <w:rFonts w:hint="eastAsia"/>
          <w:b/>
          <w:bCs/>
          <w:color w:val="FF0000"/>
        </w:rPr>
        <w:t>设置报价密码需在报价时间内并且开启报价开关后方可设置。</w:t>
      </w:r>
    </w:p>
    <w:p w14:paraId="519876AB">
      <w:pPr>
        <w:jc w:val="both"/>
        <w:outlineLvl w:val="3"/>
        <w:rPr>
          <w:b/>
          <w:bCs/>
        </w:rPr>
      </w:pPr>
      <w:r>
        <w:rPr>
          <w:rFonts w:hint="eastAsia"/>
          <w:b/>
          <w:bCs/>
        </w:rPr>
        <w:t>1.1.3.2.报价管理</w:t>
      </w:r>
    </w:p>
    <w:p w14:paraId="41E8C063">
      <w:pPr>
        <w:ind w:firstLine="420" w:firstLineChars="200"/>
      </w:pPr>
      <w:r>
        <w:rPr>
          <w:rFonts w:hint="eastAsia"/>
        </w:rPr>
        <w:t>点击【报价管理】模块下的“报价管理”链接进入产品报价页面（如图33所示），在该页面上展示所有审核通过需报价产品信息。</w:t>
      </w:r>
    </w:p>
    <w:p w14:paraId="6F121243">
      <w:r>
        <w:drawing>
          <wp:inline distT="0" distB="0" distL="114300" distR="114300">
            <wp:extent cx="5272405" cy="2476500"/>
            <wp:effectExtent l="0" t="0" r="4445" b="0"/>
            <wp:docPr id="9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39" cy="2476500"/>
                    </a:xfrm>
                    <a:prstGeom prst="rect">
                      <a:avLst/>
                    </a:prstGeom>
                    <a:noFill/>
                    <a:ln>
                      <a:noFill/>
                    </a:ln>
                  </pic:spPr>
                </pic:pic>
              </a:graphicData>
            </a:graphic>
          </wp:inline>
        </w:drawing>
      </w:r>
    </w:p>
    <w:p w14:paraId="6F0FB4C1">
      <w:pPr>
        <w:jc w:val="center"/>
      </w:pPr>
      <w:r>
        <w:rPr>
          <w:rFonts w:hint="eastAsia"/>
        </w:rPr>
        <w:t>图33</w:t>
      </w:r>
    </w:p>
    <w:p w14:paraId="08DF8B01">
      <w:pPr>
        <w:jc w:val="both"/>
        <w:outlineLvl w:val="4"/>
        <w:rPr>
          <w:b/>
          <w:bCs/>
        </w:rPr>
      </w:pPr>
      <w:r>
        <w:rPr>
          <w:rFonts w:hint="eastAsia"/>
          <w:b/>
          <w:bCs/>
        </w:rPr>
        <w:t>1.1.3.2.1.企业报价中页面</w:t>
      </w:r>
    </w:p>
    <w:p w14:paraId="068F6ADA">
      <w:pPr>
        <w:ind w:firstLine="420" w:firstLineChars="200"/>
      </w:pPr>
      <w:r>
        <w:rPr>
          <w:rFonts w:hint="eastAsia"/>
        </w:rPr>
        <w:t>点击“报价管理”页面上的“企业报价中”</w:t>
      </w:r>
      <w:r>
        <w:t>页</w:t>
      </w:r>
      <w:r>
        <w:rPr>
          <w:rFonts w:hint="eastAsia"/>
        </w:rPr>
        <w:t>面，在该页面上展示需报价的产品信息，需在页面显示的“报价起止时间”范围内进行产品信息的报价操作。点击“报价”按钮进入报价页面（如图34所示），在该页面上输入企业报价，报价价格不得高于全国平均采购价。点击“保存报价”按钮时输入报价密码完成报价操作。点击“批量提交报价”按钮可对勾选的产品进行批量报价操作（如图35所示）。</w:t>
      </w:r>
    </w:p>
    <w:p w14:paraId="0DBD54A8">
      <w:pPr>
        <w:jc w:val="center"/>
      </w:pPr>
    </w:p>
    <w:p w14:paraId="1C5B4405">
      <w:pPr>
        <w:jc w:val="center"/>
      </w:pPr>
      <w:r>
        <w:drawing>
          <wp:inline distT="0" distB="0" distL="114300" distR="114300">
            <wp:extent cx="5273040" cy="2476500"/>
            <wp:effectExtent l="0" t="0" r="0" b="762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pic:cNvPicPr>
                  </pic:nvPicPr>
                  <pic:blipFill>
                    <a:blip r:embed="rId40" cstate="print"/>
                    <a:stretch>
                      <a:fillRect/>
                    </a:stretch>
                  </pic:blipFill>
                  <pic:spPr>
                    <a:xfrm>
                      <a:off x="0" y="0"/>
                      <a:ext cx="5273040" cy="2476500"/>
                    </a:xfrm>
                    <a:prstGeom prst="rect">
                      <a:avLst/>
                    </a:prstGeom>
                    <a:noFill/>
                    <a:ln>
                      <a:noFill/>
                    </a:ln>
                  </pic:spPr>
                </pic:pic>
              </a:graphicData>
            </a:graphic>
          </wp:inline>
        </w:drawing>
      </w:r>
    </w:p>
    <w:p w14:paraId="2FABD537">
      <w:pPr>
        <w:jc w:val="center"/>
      </w:pPr>
      <w:r>
        <w:rPr>
          <w:rFonts w:hint="eastAsia"/>
        </w:rPr>
        <w:t>图34</w:t>
      </w:r>
    </w:p>
    <w:p w14:paraId="29363FEC">
      <w:pPr>
        <w:jc w:val="center"/>
      </w:pPr>
      <w:r>
        <w:drawing>
          <wp:inline distT="0" distB="0" distL="114300" distR="114300">
            <wp:extent cx="5273040" cy="2476500"/>
            <wp:effectExtent l="0" t="0" r="0" b="7620"/>
            <wp:docPr id="9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9"/>
                    <pic:cNvPicPr>
                      <a:picLocks noChangeAspect="1"/>
                    </pic:cNvPicPr>
                  </pic:nvPicPr>
                  <pic:blipFill>
                    <a:blip r:embed="rId41" cstate="print"/>
                    <a:stretch>
                      <a:fillRect/>
                    </a:stretch>
                  </pic:blipFill>
                  <pic:spPr>
                    <a:xfrm>
                      <a:off x="0" y="0"/>
                      <a:ext cx="5273040" cy="2476500"/>
                    </a:xfrm>
                    <a:prstGeom prst="rect">
                      <a:avLst/>
                    </a:prstGeom>
                    <a:noFill/>
                    <a:ln>
                      <a:noFill/>
                    </a:ln>
                  </pic:spPr>
                </pic:pic>
              </a:graphicData>
            </a:graphic>
          </wp:inline>
        </w:drawing>
      </w:r>
    </w:p>
    <w:p w14:paraId="46A72C78">
      <w:pPr>
        <w:jc w:val="center"/>
      </w:pPr>
      <w:r>
        <w:rPr>
          <w:rFonts w:hint="eastAsia"/>
        </w:rPr>
        <w:t>图35</w:t>
      </w:r>
    </w:p>
    <w:p w14:paraId="07EC9F83">
      <w:pPr>
        <w:ind w:firstLine="420" w:firstLineChars="200"/>
        <w:jc w:val="both"/>
      </w:pPr>
      <w:r>
        <w:rPr>
          <w:rFonts w:hint="eastAsia"/>
        </w:rPr>
        <w:t>在报价时间范围内需对报价价格进行修改时，点击“取消报价”按钮，可进行重新报价操作（如图36所示）。</w:t>
      </w:r>
    </w:p>
    <w:p w14:paraId="02965791">
      <w:pPr>
        <w:jc w:val="both"/>
      </w:pPr>
      <w:r>
        <w:drawing>
          <wp:inline distT="0" distB="0" distL="114300" distR="114300">
            <wp:extent cx="5273040" cy="1950720"/>
            <wp:effectExtent l="0" t="0" r="0" b="0"/>
            <wp:docPr id="9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0"/>
                    <pic:cNvPicPr>
                      <a:picLocks noChangeAspect="1"/>
                    </pic:cNvPicPr>
                  </pic:nvPicPr>
                  <pic:blipFill>
                    <a:blip r:embed="rId42" cstate="print"/>
                    <a:stretch>
                      <a:fillRect/>
                    </a:stretch>
                  </pic:blipFill>
                  <pic:spPr>
                    <a:xfrm>
                      <a:off x="0" y="0"/>
                      <a:ext cx="5273040" cy="1950720"/>
                    </a:xfrm>
                    <a:prstGeom prst="rect">
                      <a:avLst/>
                    </a:prstGeom>
                    <a:noFill/>
                    <a:ln>
                      <a:noFill/>
                    </a:ln>
                  </pic:spPr>
                </pic:pic>
              </a:graphicData>
            </a:graphic>
          </wp:inline>
        </w:drawing>
      </w:r>
    </w:p>
    <w:p w14:paraId="2FF38615">
      <w:pPr>
        <w:ind w:firstLine="420" w:firstLineChars="200"/>
        <w:jc w:val="center"/>
      </w:pPr>
      <w:r>
        <w:rPr>
          <w:rFonts w:hint="eastAsia"/>
        </w:rPr>
        <w:t>图36</w:t>
      </w:r>
    </w:p>
    <w:p w14:paraId="138237A3">
      <w:pPr>
        <w:ind w:firstLine="420" w:firstLineChars="200"/>
        <w:jc w:val="both"/>
      </w:pPr>
      <w:r>
        <w:rPr>
          <w:rFonts w:hint="eastAsia"/>
        </w:rPr>
        <w:t>点击页面上的“报价一览表”按钮可对已报价的产品进行打印操作（如图37所示），在该页面上点击“打印预览”按钮可预览打印的效果（如图38所示），点击打印完成报价一览表的打印操作。</w:t>
      </w:r>
    </w:p>
    <w:p w14:paraId="50A7D862">
      <w:pPr>
        <w:jc w:val="both"/>
      </w:pPr>
      <w:r>
        <w:drawing>
          <wp:inline distT="0" distB="0" distL="114300" distR="114300">
            <wp:extent cx="5273040" cy="1965960"/>
            <wp:effectExtent l="0" t="0" r="0" b="0"/>
            <wp:docPr id="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pic:cNvPicPr>
                      <a:picLocks noChangeAspect="1"/>
                    </pic:cNvPicPr>
                  </pic:nvPicPr>
                  <pic:blipFill>
                    <a:blip r:embed="rId43" cstate="print"/>
                    <a:stretch>
                      <a:fillRect/>
                    </a:stretch>
                  </pic:blipFill>
                  <pic:spPr>
                    <a:xfrm>
                      <a:off x="0" y="0"/>
                      <a:ext cx="5273040" cy="1965960"/>
                    </a:xfrm>
                    <a:prstGeom prst="rect">
                      <a:avLst/>
                    </a:prstGeom>
                    <a:noFill/>
                    <a:ln>
                      <a:noFill/>
                    </a:ln>
                  </pic:spPr>
                </pic:pic>
              </a:graphicData>
            </a:graphic>
          </wp:inline>
        </w:drawing>
      </w:r>
    </w:p>
    <w:p w14:paraId="441925E5">
      <w:pPr>
        <w:jc w:val="center"/>
      </w:pPr>
      <w:r>
        <w:rPr>
          <w:rFonts w:hint="eastAsia"/>
        </w:rPr>
        <w:t>图37</w:t>
      </w:r>
    </w:p>
    <w:p w14:paraId="6D4D1304">
      <w:pPr>
        <w:jc w:val="center"/>
      </w:pPr>
      <w:r>
        <w:drawing>
          <wp:inline distT="0" distB="0" distL="114300" distR="114300">
            <wp:extent cx="5273040" cy="2849880"/>
            <wp:effectExtent l="0" t="0" r="0" b="0"/>
            <wp:docPr id="9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2"/>
                    <pic:cNvPicPr>
                      <a:picLocks noChangeAspect="1"/>
                    </pic:cNvPicPr>
                  </pic:nvPicPr>
                  <pic:blipFill>
                    <a:blip r:embed="rId44" cstate="print"/>
                    <a:stretch>
                      <a:fillRect/>
                    </a:stretch>
                  </pic:blipFill>
                  <pic:spPr>
                    <a:xfrm>
                      <a:off x="0" y="0"/>
                      <a:ext cx="5273040" cy="2849880"/>
                    </a:xfrm>
                    <a:prstGeom prst="rect">
                      <a:avLst/>
                    </a:prstGeom>
                    <a:noFill/>
                    <a:ln>
                      <a:noFill/>
                    </a:ln>
                  </pic:spPr>
                </pic:pic>
              </a:graphicData>
            </a:graphic>
          </wp:inline>
        </w:drawing>
      </w:r>
    </w:p>
    <w:p w14:paraId="4F7927A6">
      <w:pPr>
        <w:jc w:val="center"/>
      </w:pPr>
      <w:r>
        <w:rPr>
          <w:rFonts w:hint="eastAsia"/>
        </w:rPr>
        <w:t>图38</w:t>
      </w:r>
    </w:p>
    <w:p w14:paraId="7BB8FB5D">
      <w:pPr>
        <w:rPr>
          <w:b/>
          <w:bCs/>
        </w:rPr>
      </w:pPr>
      <w:r>
        <w:rPr>
          <w:rFonts w:hint="eastAsia"/>
          <w:b/>
          <w:bCs/>
        </w:rPr>
        <w:t>注意事项：</w:t>
      </w:r>
    </w:p>
    <w:p w14:paraId="6FA6C932">
      <w:pPr>
        <w:ind w:firstLine="422" w:firstLineChars="200"/>
        <w:rPr>
          <w:b/>
          <w:bCs/>
          <w:color w:val="FF0000"/>
        </w:rPr>
      </w:pPr>
      <w:r>
        <w:rPr>
          <w:rFonts w:hint="eastAsia"/>
          <w:b/>
          <w:bCs/>
          <w:color w:val="FF0000"/>
        </w:rPr>
        <w:t>1.请仔细阅读报价页面中提示的报价原则；</w:t>
      </w:r>
    </w:p>
    <w:p w14:paraId="20DFC187">
      <w:pPr>
        <w:ind w:firstLine="422" w:firstLineChars="200"/>
        <w:rPr>
          <w:b/>
          <w:bCs/>
          <w:color w:val="FF0000"/>
        </w:rPr>
      </w:pPr>
      <w:r>
        <w:rPr>
          <w:rFonts w:hint="eastAsia"/>
          <w:b/>
          <w:bCs/>
          <w:color w:val="FF0000"/>
        </w:rPr>
        <w:t>2.报价价格不得高于全国平均价；</w:t>
      </w:r>
    </w:p>
    <w:p w14:paraId="76BC3AE5">
      <w:pPr>
        <w:ind w:firstLine="422" w:firstLineChars="200"/>
        <w:rPr>
          <w:b/>
          <w:bCs/>
          <w:color w:val="FF0000"/>
        </w:rPr>
      </w:pPr>
      <w:r>
        <w:rPr>
          <w:rFonts w:hint="eastAsia"/>
          <w:b/>
          <w:bCs/>
          <w:color w:val="FF0000"/>
        </w:rPr>
        <w:t>3.报价价格提交后加密存储。</w:t>
      </w:r>
    </w:p>
    <w:p w14:paraId="2ADAFA25">
      <w:pPr>
        <w:ind w:firstLine="422" w:firstLineChars="200"/>
        <w:rPr>
          <w:b/>
          <w:bCs/>
          <w:color w:val="FF0000"/>
        </w:rPr>
      </w:pPr>
      <w:r>
        <w:rPr>
          <w:rFonts w:hint="eastAsia"/>
          <w:b/>
          <w:bCs/>
          <w:color w:val="FF0000"/>
        </w:rPr>
        <w:t>4.打印报价一览表时必须点击页面中的更多设置，找到背景图片勾选在打印的纸质单</w:t>
      </w:r>
      <w:r>
        <w:rPr>
          <w:rFonts w:hint="eastAsia"/>
          <w:b/>
          <w:bCs/>
          <w:color w:val="FF0000"/>
        </w:rPr>
        <w:tab/>
      </w:r>
      <w:r>
        <w:rPr>
          <w:rFonts w:hint="eastAsia"/>
          <w:b/>
          <w:bCs/>
          <w:color w:val="FF0000"/>
        </w:rPr>
        <w:t xml:space="preserve">  上增加水印（如图38所示）。</w:t>
      </w:r>
    </w:p>
    <w:p w14:paraId="2E0DC051">
      <w:pPr>
        <w:jc w:val="both"/>
        <w:outlineLvl w:val="4"/>
        <w:rPr>
          <w:b/>
          <w:bCs/>
        </w:rPr>
      </w:pPr>
      <w:r>
        <w:rPr>
          <w:rFonts w:hint="eastAsia"/>
          <w:b/>
          <w:bCs/>
        </w:rPr>
        <w:t>1.1.3.2.2.企业待解密页面</w:t>
      </w:r>
    </w:p>
    <w:p w14:paraId="3C647EDD">
      <w:pPr>
        <w:ind w:firstLine="420" w:firstLineChars="200"/>
        <w:jc w:val="both"/>
      </w:pPr>
      <w:r>
        <w:rPr>
          <w:rFonts w:hint="eastAsia"/>
        </w:rPr>
        <w:t>点击“报价管理”页面上的“企业待解密”</w:t>
      </w:r>
      <w:r>
        <w:t>页</w:t>
      </w:r>
      <w:r>
        <w:rPr>
          <w:rFonts w:hint="eastAsia"/>
        </w:rPr>
        <w:t xml:space="preserve">面，在该页面上展示需解密的产品信息，需在页面显示的“解密起止时间”范围内进行产品信息的统一解密操作（如图39所示），点击页面上的“统一解密”按钮输入报价密码完成报价价格的解密操作（如图40所示）。 </w:t>
      </w:r>
    </w:p>
    <w:p w14:paraId="1EC1A044">
      <w:pPr>
        <w:jc w:val="both"/>
      </w:pPr>
      <w:r>
        <w:drawing>
          <wp:inline distT="0" distB="0" distL="0" distR="0">
            <wp:extent cx="5273675" cy="247777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189" cy="2477770"/>
                    </a:xfrm>
                    <a:prstGeom prst="rect">
                      <a:avLst/>
                    </a:prstGeom>
                  </pic:spPr>
                </pic:pic>
              </a:graphicData>
            </a:graphic>
          </wp:inline>
        </w:drawing>
      </w:r>
    </w:p>
    <w:p w14:paraId="38E04C35">
      <w:pPr>
        <w:jc w:val="center"/>
      </w:pPr>
      <w:r>
        <w:rPr>
          <w:rFonts w:hint="eastAsia"/>
        </w:rPr>
        <w:t>图39</w:t>
      </w:r>
    </w:p>
    <w:p w14:paraId="459B50C5">
      <w:pPr>
        <w:jc w:val="center"/>
      </w:pPr>
      <w:r>
        <w:drawing>
          <wp:inline distT="0" distB="0" distL="114300" distR="114300">
            <wp:extent cx="5273040" cy="1958340"/>
            <wp:effectExtent l="0" t="0" r="0" b="7620"/>
            <wp:docPr id="10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pic:cNvPicPr>
                      <a:picLocks noChangeAspect="1"/>
                    </pic:cNvPicPr>
                  </pic:nvPicPr>
                  <pic:blipFill>
                    <a:blip r:embed="rId46" cstate="print"/>
                    <a:stretch>
                      <a:fillRect/>
                    </a:stretch>
                  </pic:blipFill>
                  <pic:spPr>
                    <a:xfrm>
                      <a:off x="0" y="0"/>
                      <a:ext cx="5273040" cy="1958340"/>
                    </a:xfrm>
                    <a:prstGeom prst="rect">
                      <a:avLst/>
                    </a:prstGeom>
                    <a:noFill/>
                    <a:ln>
                      <a:noFill/>
                    </a:ln>
                  </pic:spPr>
                </pic:pic>
              </a:graphicData>
            </a:graphic>
          </wp:inline>
        </w:drawing>
      </w:r>
    </w:p>
    <w:p w14:paraId="6A1C33D8">
      <w:pPr>
        <w:jc w:val="center"/>
      </w:pPr>
      <w:r>
        <w:rPr>
          <w:rFonts w:hint="eastAsia"/>
        </w:rPr>
        <w:t>图40</w:t>
      </w:r>
    </w:p>
    <w:p w14:paraId="21B6E287">
      <w:pPr>
        <w:jc w:val="both"/>
        <w:outlineLvl w:val="4"/>
        <w:rPr>
          <w:b/>
          <w:bCs/>
        </w:rPr>
      </w:pPr>
      <w:r>
        <w:rPr>
          <w:rFonts w:hint="eastAsia"/>
          <w:b/>
          <w:bCs/>
        </w:rPr>
        <w:t>1.1.3.2.3.企业已解密页面</w:t>
      </w:r>
    </w:p>
    <w:p w14:paraId="0D1D6096">
      <w:pPr>
        <w:ind w:firstLine="420" w:firstLineChars="200"/>
      </w:pPr>
      <w:r>
        <w:rPr>
          <w:rFonts w:hint="eastAsia"/>
        </w:rPr>
        <w:t>点击“报价管理”页面上的“企业已解密”</w:t>
      </w:r>
      <w:r>
        <w:t>页</w:t>
      </w:r>
      <w:r>
        <w:rPr>
          <w:rFonts w:hint="eastAsia"/>
        </w:rPr>
        <w:t>面，在该页面上展示所有已解密的产品信息及价格信息（如图41所示）。</w:t>
      </w:r>
    </w:p>
    <w:p w14:paraId="179F2F1B">
      <w:r>
        <w:drawing>
          <wp:inline distT="0" distB="0" distL="0" distR="0">
            <wp:extent cx="5274310" cy="24777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cstate="print"/>
                    <a:stretch>
                      <a:fillRect/>
                    </a:stretch>
                  </pic:blipFill>
                  <pic:spPr>
                    <a:xfrm>
                      <a:off x="0" y="0"/>
                      <a:ext cx="5274310" cy="2477770"/>
                    </a:xfrm>
                    <a:prstGeom prst="rect">
                      <a:avLst/>
                    </a:prstGeom>
                  </pic:spPr>
                </pic:pic>
              </a:graphicData>
            </a:graphic>
          </wp:inline>
        </w:drawing>
      </w:r>
    </w:p>
    <w:p w14:paraId="2581E86A">
      <w:pPr>
        <w:jc w:val="center"/>
      </w:pPr>
      <w:r>
        <w:rPr>
          <w:rFonts w:hint="eastAsia"/>
        </w:rPr>
        <w:t>图41</w:t>
      </w:r>
    </w:p>
    <w:p w14:paraId="6F2C4DA6">
      <w:pPr>
        <w:jc w:val="both"/>
        <w:outlineLvl w:val="4"/>
        <w:rPr>
          <w:b/>
          <w:bCs/>
        </w:rPr>
      </w:pPr>
      <w:r>
        <w:rPr>
          <w:rFonts w:hint="eastAsia"/>
          <w:b/>
          <w:bCs/>
        </w:rPr>
        <w:t>1.1.3.2.4.解密结果公布页面</w:t>
      </w:r>
    </w:p>
    <w:p w14:paraId="3F819BF1">
      <w:pPr>
        <w:ind w:firstLine="420" w:firstLineChars="200"/>
      </w:pPr>
      <w:r>
        <w:rPr>
          <w:rFonts w:hint="eastAsia"/>
        </w:rPr>
        <w:t>点击“报价管理”页面上的“解密结果公布”</w:t>
      </w:r>
      <w:r>
        <w:t>页</w:t>
      </w:r>
      <w:r>
        <w:rPr>
          <w:rFonts w:hint="eastAsia"/>
        </w:rPr>
        <w:t>面，在该页面上展示该项目所有报价的产品信息（如图42所示）。</w:t>
      </w:r>
    </w:p>
    <w:p w14:paraId="5B3F8BE8">
      <w:r>
        <w:drawing>
          <wp:inline distT="0" distB="0" distL="0" distR="0">
            <wp:extent cx="5274310" cy="24777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8" cstate="print"/>
                    <a:stretch>
                      <a:fillRect/>
                    </a:stretch>
                  </pic:blipFill>
                  <pic:spPr>
                    <a:xfrm>
                      <a:off x="0" y="0"/>
                      <a:ext cx="5274310" cy="2477770"/>
                    </a:xfrm>
                    <a:prstGeom prst="rect">
                      <a:avLst/>
                    </a:prstGeom>
                  </pic:spPr>
                </pic:pic>
              </a:graphicData>
            </a:graphic>
          </wp:inline>
        </w:drawing>
      </w:r>
    </w:p>
    <w:p w14:paraId="0A2D521A">
      <w:pPr>
        <w:jc w:val="center"/>
      </w:pPr>
      <w:r>
        <w:rPr>
          <w:rFonts w:hint="eastAsia"/>
        </w:rPr>
        <w:t>图42</w:t>
      </w:r>
    </w:p>
    <w:p w14:paraId="4F14D144">
      <w:pPr>
        <w:jc w:val="both"/>
        <w:outlineLvl w:val="2"/>
        <w:rPr>
          <w:b/>
          <w:bCs/>
        </w:rPr>
      </w:pPr>
      <w:r>
        <w:rPr>
          <w:rFonts w:hint="eastAsia"/>
          <w:b/>
          <w:bCs/>
        </w:rPr>
        <w:t>1.1.5.拟入围结果管理</w:t>
      </w:r>
    </w:p>
    <w:p w14:paraId="479C8997">
      <w:pPr>
        <w:jc w:val="both"/>
        <w:outlineLvl w:val="3"/>
        <w:rPr>
          <w:b/>
          <w:bCs/>
        </w:rPr>
      </w:pPr>
      <w:r>
        <w:rPr>
          <w:rFonts w:hint="eastAsia"/>
          <w:b/>
          <w:bCs/>
        </w:rPr>
        <w:t>1.1.5.1.拟入围结果查询</w:t>
      </w:r>
    </w:p>
    <w:p w14:paraId="4911B75E">
      <w:pPr>
        <w:ind w:firstLine="420" w:firstLineChars="200"/>
        <w:jc w:val="both"/>
      </w:pPr>
      <w:r>
        <w:rPr>
          <w:rFonts w:hint="eastAsia"/>
        </w:rPr>
        <w:t>点击【拟入围结果管理】模块下的“拟入围结果查询”链接进入“公示中”、“公示结束”两个</w:t>
      </w:r>
      <w:r>
        <w:t>页</w:t>
      </w:r>
      <w:r>
        <w:rPr>
          <w:rFonts w:hint="eastAsia"/>
        </w:rPr>
        <w:t>面，点击【公示中】</w:t>
      </w:r>
      <w:r>
        <w:t>页</w:t>
      </w:r>
      <w:r>
        <w:rPr>
          <w:rFonts w:hint="eastAsia"/>
        </w:rPr>
        <w:t>面，页面展示该项目所有申报的产品信息，如图43所示）。点击【公示结束】</w:t>
      </w:r>
      <w:r>
        <w:t>页</w:t>
      </w:r>
      <w:r>
        <w:rPr>
          <w:rFonts w:hint="eastAsia"/>
        </w:rPr>
        <w:t>面，页面展示该项目所有申报的产品信息，如图44所示）。</w:t>
      </w:r>
    </w:p>
    <w:p w14:paraId="2D2C969C">
      <w:r>
        <w:drawing>
          <wp:inline distT="0" distB="0" distL="114300" distR="114300">
            <wp:extent cx="5266690" cy="2474595"/>
            <wp:effectExtent l="0" t="0" r="635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9" cstate="print"/>
                    <a:stretch>
                      <a:fillRect/>
                    </a:stretch>
                  </pic:blipFill>
                  <pic:spPr>
                    <a:xfrm>
                      <a:off x="0" y="0"/>
                      <a:ext cx="5266690" cy="2474595"/>
                    </a:xfrm>
                    <a:prstGeom prst="rect">
                      <a:avLst/>
                    </a:prstGeom>
                    <a:noFill/>
                    <a:ln>
                      <a:noFill/>
                    </a:ln>
                  </pic:spPr>
                </pic:pic>
              </a:graphicData>
            </a:graphic>
          </wp:inline>
        </w:drawing>
      </w:r>
    </w:p>
    <w:p w14:paraId="20322153">
      <w:pPr>
        <w:jc w:val="center"/>
      </w:pPr>
      <w:r>
        <w:rPr>
          <w:rFonts w:hint="eastAsia"/>
        </w:rPr>
        <w:t>图43</w:t>
      </w:r>
    </w:p>
    <w:p w14:paraId="7E1A93FB">
      <w:pPr>
        <w:jc w:val="center"/>
      </w:pPr>
      <w:r>
        <w:drawing>
          <wp:inline distT="0" distB="0" distL="114300" distR="114300">
            <wp:extent cx="5266690" cy="2473960"/>
            <wp:effectExtent l="0" t="0" r="0"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66690" cy="2474247"/>
                    </a:xfrm>
                    <a:prstGeom prst="rect">
                      <a:avLst/>
                    </a:prstGeom>
                    <a:noFill/>
                    <a:ln>
                      <a:noFill/>
                    </a:ln>
                  </pic:spPr>
                </pic:pic>
              </a:graphicData>
            </a:graphic>
          </wp:inline>
        </w:drawing>
      </w:r>
    </w:p>
    <w:p w14:paraId="1456928E">
      <w:pPr>
        <w:jc w:val="center"/>
      </w:pPr>
      <w:r>
        <w:rPr>
          <w:rFonts w:hint="eastAsia"/>
        </w:rPr>
        <w:t>图44</w:t>
      </w:r>
    </w:p>
    <w:p w14:paraId="01BFE018">
      <w:pPr>
        <w:rPr>
          <w:b/>
          <w:bCs/>
        </w:rPr>
      </w:pPr>
      <w:r>
        <w:rPr>
          <w:rFonts w:hint="eastAsia"/>
          <w:b/>
          <w:bCs/>
        </w:rPr>
        <w:t>功能描述</w:t>
      </w:r>
    </w:p>
    <w:p w14:paraId="60433213">
      <w:pPr>
        <w:numPr>
          <w:ilvl w:val="0"/>
          <w:numId w:val="14"/>
        </w:numPr>
      </w:pPr>
      <w:r>
        <w:rPr>
          <w:rFonts w:hint="eastAsia"/>
        </w:rPr>
        <w:t>点击【公示中】</w:t>
      </w:r>
      <w:r>
        <w:t>页</w:t>
      </w:r>
      <w:r>
        <w:rPr>
          <w:rFonts w:hint="eastAsia"/>
        </w:rPr>
        <w:t>面，页面展示该项目所有申报的产品信息。</w:t>
      </w:r>
    </w:p>
    <w:p w14:paraId="07E5274B">
      <w:pPr>
        <w:numPr>
          <w:ilvl w:val="0"/>
          <w:numId w:val="15"/>
        </w:numPr>
      </w:pPr>
      <w:r>
        <w:rPr>
          <w:rFonts w:hint="eastAsia"/>
        </w:rPr>
        <w:t>点击【公示结束】</w:t>
      </w:r>
      <w:r>
        <w:t>页</w:t>
      </w:r>
      <w:r>
        <w:rPr>
          <w:rFonts w:hint="eastAsia"/>
        </w:rPr>
        <w:t>面，页面展示该项目所有申报的产品信息。</w:t>
      </w:r>
    </w:p>
    <w:p w14:paraId="6DF88D81">
      <w:pPr>
        <w:pStyle w:val="14"/>
        <w:ind w:left="420" w:leftChars="200" w:firstLine="0" w:firstLineChars="0"/>
        <w:rPr>
          <w:b/>
          <w:bCs/>
        </w:rPr>
      </w:pPr>
      <w:r>
        <w:rPr>
          <w:rFonts w:hint="eastAsia"/>
          <w:b/>
          <w:bCs/>
        </w:rPr>
        <w:t>注意事项：</w:t>
      </w:r>
    </w:p>
    <w:p w14:paraId="0B28F967">
      <w:pPr>
        <w:jc w:val="both"/>
      </w:pPr>
      <w:r>
        <w:rPr>
          <w:rFonts w:hint="eastAsia"/>
          <w:b/>
          <w:bCs/>
          <w:color w:val="FF0000"/>
          <w:szCs w:val="21"/>
        </w:rPr>
        <w:t>企业对公示中的产品存在质疑，可以进行申投诉，公示结束将无法进行申投诉；</w:t>
      </w:r>
    </w:p>
    <w:p w14:paraId="66319241">
      <w:pPr>
        <w:jc w:val="center"/>
      </w:pPr>
    </w:p>
    <w:p w14:paraId="7290EFC1">
      <w:pPr>
        <w:jc w:val="both"/>
        <w:outlineLvl w:val="2"/>
        <w:rPr>
          <w:b/>
          <w:bCs/>
        </w:rPr>
      </w:pPr>
      <w:r>
        <w:rPr>
          <w:rFonts w:hint="eastAsia"/>
          <w:b/>
          <w:bCs/>
        </w:rPr>
        <w:t>1.1.4.质疑申诉管理</w:t>
      </w:r>
    </w:p>
    <w:p w14:paraId="4F826A62">
      <w:pPr>
        <w:jc w:val="both"/>
        <w:outlineLvl w:val="3"/>
        <w:rPr>
          <w:b/>
          <w:bCs/>
        </w:rPr>
      </w:pPr>
      <w:r>
        <w:rPr>
          <w:rFonts w:hint="eastAsia"/>
          <w:b/>
          <w:bCs/>
        </w:rPr>
        <w:t>1.1.4.1质疑申诉列表</w:t>
      </w:r>
    </w:p>
    <w:p w14:paraId="625FB169">
      <w:pPr>
        <w:ind w:firstLine="420" w:firstLineChars="200"/>
        <w:jc w:val="both"/>
      </w:pPr>
      <w:r>
        <w:rPr>
          <w:rFonts w:hint="eastAsia"/>
        </w:rPr>
        <w:t>点击【质疑申诉管理】模块下的“质疑申诉列表”链接进入质疑申诉页面（如图45所示），企业可在公示时间内对投标的企业及产品提出申诉质疑。点击页面上的“添加申投诉”按钮进入质疑申诉详情页面（如图46所示），在该页面上输入质疑申诉信息点击“保存”按钮完成质疑申诉信息的保存操作，也可点击“保存并提交”按钮完成质疑申诉信息的保存与提交操作。</w:t>
      </w:r>
    </w:p>
    <w:p w14:paraId="03CAC954">
      <w:pPr>
        <w:jc w:val="both"/>
      </w:pPr>
      <w:r>
        <w:drawing>
          <wp:inline distT="0" distB="0" distL="114300" distR="114300">
            <wp:extent cx="5265420" cy="2453640"/>
            <wp:effectExtent l="0" t="0" r="7620" b="0"/>
            <wp:docPr id="1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8"/>
                    <pic:cNvPicPr>
                      <a:picLocks noChangeAspect="1"/>
                    </pic:cNvPicPr>
                  </pic:nvPicPr>
                  <pic:blipFill>
                    <a:blip r:embed="rId51" cstate="print"/>
                    <a:stretch>
                      <a:fillRect/>
                    </a:stretch>
                  </pic:blipFill>
                  <pic:spPr>
                    <a:xfrm>
                      <a:off x="0" y="0"/>
                      <a:ext cx="5265420" cy="2453640"/>
                    </a:xfrm>
                    <a:prstGeom prst="rect">
                      <a:avLst/>
                    </a:prstGeom>
                    <a:noFill/>
                    <a:ln>
                      <a:noFill/>
                    </a:ln>
                  </pic:spPr>
                </pic:pic>
              </a:graphicData>
            </a:graphic>
          </wp:inline>
        </w:drawing>
      </w:r>
    </w:p>
    <w:p w14:paraId="4B62B4C7">
      <w:pPr>
        <w:jc w:val="center"/>
      </w:pPr>
      <w:r>
        <w:rPr>
          <w:rFonts w:hint="eastAsia"/>
        </w:rPr>
        <w:t>图45</w:t>
      </w:r>
    </w:p>
    <w:p w14:paraId="6DDAE0E6">
      <w:pPr>
        <w:jc w:val="center"/>
      </w:pPr>
      <w:r>
        <w:drawing>
          <wp:inline distT="0" distB="0" distL="114300" distR="114300">
            <wp:extent cx="5273040" cy="1965960"/>
            <wp:effectExtent l="0" t="0" r="0" b="0"/>
            <wp:docPr id="1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9"/>
                    <pic:cNvPicPr>
                      <a:picLocks noChangeAspect="1"/>
                    </pic:cNvPicPr>
                  </pic:nvPicPr>
                  <pic:blipFill>
                    <a:blip r:embed="rId52" cstate="print"/>
                    <a:stretch>
                      <a:fillRect/>
                    </a:stretch>
                  </pic:blipFill>
                  <pic:spPr>
                    <a:xfrm>
                      <a:off x="0" y="0"/>
                      <a:ext cx="5273040" cy="1965960"/>
                    </a:xfrm>
                    <a:prstGeom prst="rect">
                      <a:avLst/>
                    </a:prstGeom>
                    <a:noFill/>
                    <a:ln>
                      <a:noFill/>
                    </a:ln>
                  </pic:spPr>
                </pic:pic>
              </a:graphicData>
            </a:graphic>
          </wp:inline>
        </w:drawing>
      </w:r>
    </w:p>
    <w:p w14:paraId="6F150FA9">
      <w:pPr>
        <w:jc w:val="center"/>
      </w:pPr>
      <w:r>
        <w:rPr>
          <w:rFonts w:hint="eastAsia"/>
        </w:rPr>
        <w:t>图46</w:t>
      </w:r>
    </w:p>
    <w:p w14:paraId="20D95174">
      <w:pPr>
        <w:pStyle w:val="14"/>
        <w:ind w:firstLine="0" w:firstLineChars="0"/>
      </w:pPr>
      <w:r>
        <w:rPr>
          <w:rFonts w:hint="eastAsia"/>
        </w:rPr>
        <w:t>功能描述</w:t>
      </w:r>
    </w:p>
    <w:p w14:paraId="40F8EBD9">
      <w:pPr>
        <w:pStyle w:val="14"/>
        <w:numPr>
          <w:ilvl w:val="0"/>
          <w:numId w:val="16"/>
        </w:numPr>
        <w:ind w:firstLine="420"/>
      </w:pPr>
      <w:r>
        <w:rPr>
          <w:rFonts w:hint="eastAsia"/>
        </w:rPr>
        <w:t>点击图45页面上的“修改”按钮可对未提交的质疑申诉信息进行修改操作；</w:t>
      </w:r>
    </w:p>
    <w:p w14:paraId="5D518111">
      <w:pPr>
        <w:pStyle w:val="14"/>
        <w:numPr>
          <w:ilvl w:val="0"/>
          <w:numId w:val="16"/>
        </w:numPr>
        <w:ind w:firstLine="420"/>
      </w:pPr>
      <w:r>
        <w:rPr>
          <w:rFonts w:hint="eastAsia"/>
        </w:rPr>
        <w:t>点击图45页面上的“删除”按钮可对未提交的质疑申诉信息进行删除操作；</w:t>
      </w:r>
    </w:p>
    <w:p w14:paraId="1BC7F63E">
      <w:pPr>
        <w:pStyle w:val="14"/>
        <w:numPr>
          <w:ilvl w:val="0"/>
          <w:numId w:val="16"/>
        </w:numPr>
        <w:ind w:firstLine="420"/>
      </w:pPr>
      <w:r>
        <w:rPr>
          <w:rFonts w:hint="eastAsia"/>
        </w:rPr>
        <w:t>点击图45页面上的“撤回”按钮可对已提交未处理的质疑申诉信息进行撤回操作；</w:t>
      </w:r>
    </w:p>
    <w:p w14:paraId="680F3F4E">
      <w:pPr>
        <w:pStyle w:val="14"/>
        <w:numPr>
          <w:ilvl w:val="0"/>
          <w:numId w:val="16"/>
        </w:numPr>
        <w:ind w:firstLine="420"/>
      </w:pPr>
      <w:r>
        <w:rPr>
          <w:rFonts w:hint="eastAsia"/>
        </w:rPr>
        <w:t>点击图45页面上的“查看”按钮可对质疑申诉信息进行详情查看操作。</w:t>
      </w:r>
    </w:p>
    <w:p w14:paraId="7D3AC874">
      <w:pPr>
        <w:pStyle w:val="14"/>
        <w:ind w:firstLine="0" w:firstLineChars="0"/>
      </w:pPr>
      <w:r>
        <w:rPr>
          <w:rFonts w:hint="eastAsia"/>
        </w:rPr>
        <w:t>注意事项</w:t>
      </w:r>
    </w:p>
    <w:p w14:paraId="20E31CC4">
      <w:pPr>
        <w:numPr>
          <w:ilvl w:val="0"/>
          <w:numId w:val="17"/>
        </w:numPr>
        <w:ind w:firstLine="422" w:firstLineChars="200"/>
        <w:jc w:val="both"/>
        <w:rPr>
          <w:b/>
          <w:bCs/>
          <w:color w:val="FF0000"/>
          <w:szCs w:val="21"/>
        </w:rPr>
      </w:pPr>
      <w:r>
        <w:rPr>
          <w:rFonts w:hint="eastAsia"/>
          <w:b/>
          <w:bCs/>
          <w:color w:val="FF0000"/>
          <w:szCs w:val="21"/>
        </w:rPr>
        <w:t>页面上带*的字段为必填项；</w:t>
      </w:r>
    </w:p>
    <w:p w14:paraId="5855B7CB">
      <w:pPr>
        <w:pStyle w:val="14"/>
        <w:numPr>
          <w:ilvl w:val="0"/>
          <w:numId w:val="17"/>
        </w:numPr>
        <w:ind w:firstLine="422"/>
        <w:rPr>
          <w:b/>
          <w:bCs/>
          <w:color w:val="FF0000"/>
          <w:szCs w:val="21"/>
        </w:rPr>
      </w:pPr>
      <w:r>
        <w:rPr>
          <w:rFonts w:hint="eastAsia"/>
          <w:b/>
          <w:bCs/>
          <w:color w:val="FF0000"/>
          <w:szCs w:val="21"/>
        </w:rPr>
        <w:t>没有填写或者漏填时，会有相应的提示信息；</w:t>
      </w:r>
    </w:p>
    <w:p w14:paraId="287A30F6">
      <w:pPr>
        <w:pStyle w:val="14"/>
        <w:numPr>
          <w:ilvl w:val="0"/>
          <w:numId w:val="17"/>
        </w:numPr>
        <w:ind w:firstLine="422"/>
        <w:rPr>
          <w:b/>
          <w:bCs/>
          <w:color w:val="FF0000"/>
          <w:szCs w:val="21"/>
        </w:rPr>
      </w:pPr>
      <w:r>
        <w:rPr>
          <w:rFonts w:hint="eastAsia"/>
          <w:b/>
          <w:bCs/>
          <w:color w:val="FF0000"/>
          <w:szCs w:val="21"/>
        </w:rPr>
        <w:t>保存完成的信息必须进行提交操作；</w:t>
      </w:r>
    </w:p>
    <w:p w14:paraId="5FB28BF7">
      <w:pPr>
        <w:pStyle w:val="14"/>
        <w:numPr>
          <w:ilvl w:val="0"/>
          <w:numId w:val="17"/>
        </w:numPr>
        <w:ind w:firstLine="422"/>
        <w:rPr>
          <w:b/>
          <w:bCs/>
          <w:color w:val="FF0000"/>
          <w:szCs w:val="21"/>
        </w:rPr>
      </w:pPr>
      <w:r>
        <w:rPr>
          <w:rFonts w:hint="eastAsia"/>
          <w:b/>
          <w:bCs/>
          <w:color w:val="FF0000"/>
          <w:szCs w:val="21"/>
        </w:rPr>
        <w:t>提交后的信息不可修改，如需修改可进行撤回操作。</w:t>
      </w:r>
    </w:p>
    <w:p w14:paraId="2DFD85B0">
      <w:pPr>
        <w:jc w:val="both"/>
        <w:outlineLvl w:val="3"/>
        <w:rPr>
          <w:b/>
          <w:bCs/>
        </w:rPr>
      </w:pPr>
      <w:r>
        <w:rPr>
          <w:rFonts w:hint="eastAsia"/>
          <w:b/>
          <w:bCs/>
        </w:rPr>
        <w:t>1.1.4.2申投诉资料补充</w:t>
      </w:r>
    </w:p>
    <w:p w14:paraId="32A734D9">
      <w:pPr>
        <w:ind w:firstLine="420" w:firstLineChars="200"/>
        <w:jc w:val="both"/>
      </w:pPr>
      <w:r>
        <w:rPr>
          <w:rFonts w:hint="eastAsia"/>
        </w:rPr>
        <w:t>点击【质疑申诉管理】模块下的“质疑申诉列表”链接进入质疑申诉页面（如图47所示），企业可在申投诉状态为需补充资料的产品进行资料补充。点击对应产品操作列中的“修改”按钮进入资料补充页面（如图48所示），在该页面上补充申诉信息点击“提交”按钮完成资料补充的提交操作。</w:t>
      </w:r>
    </w:p>
    <w:p w14:paraId="1B86DA95">
      <w:pPr>
        <w:jc w:val="both"/>
      </w:pPr>
      <w:r>
        <w:drawing>
          <wp:inline distT="0" distB="0" distL="114300" distR="114300">
            <wp:extent cx="5266690" cy="2474595"/>
            <wp:effectExtent l="0" t="0" r="635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3" cstate="print"/>
                    <a:stretch>
                      <a:fillRect/>
                    </a:stretch>
                  </pic:blipFill>
                  <pic:spPr>
                    <a:xfrm>
                      <a:off x="0" y="0"/>
                      <a:ext cx="5266690" cy="2474595"/>
                    </a:xfrm>
                    <a:prstGeom prst="rect">
                      <a:avLst/>
                    </a:prstGeom>
                    <a:noFill/>
                    <a:ln>
                      <a:noFill/>
                    </a:ln>
                  </pic:spPr>
                </pic:pic>
              </a:graphicData>
            </a:graphic>
          </wp:inline>
        </w:drawing>
      </w:r>
    </w:p>
    <w:p w14:paraId="598099AC">
      <w:pPr>
        <w:jc w:val="center"/>
      </w:pPr>
      <w:r>
        <w:rPr>
          <w:rFonts w:hint="eastAsia"/>
        </w:rPr>
        <w:t>图47</w:t>
      </w:r>
    </w:p>
    <w:p w14:paraId="48A76E3D">
      <w:pPr>
        <w:jc w:val="center"/>
      </w:pPr>
      <w:r>
        <w:drawing>
          <wp:inline distT="0" distB="0" distL="114300" distR="114300">
            <wp:extent cx="5266690" cy="2474595"/>
            <wp:effectExtent l="0" t="0" r="635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4" cstate="print"/>
                    <a:stretch>
                      <a:fillRect/>
                    </a:stretch>
                  </pic:blipFill>
                  <pic:spPr>
                    <a:xfrm>
                      <a:off x="0" y="0"/>
                      <a:ext cx="5266690" cy="2474595"/>
                    </a:xfrm>
                    <a:prstGeom prst="rect">
                      <a:avLst/>
                    </a:prstGeom>
                    <a:noFill/>
                    <a:ln>
                      <a:noFill/>
                    </a:ln>
                  </pic:spPr>
                </pic:pic>
              </a:graphicData>
            </a:graphic>
          </wp:inline>
        </w:drawing>
      </w:r>
    </w:p>
    <w:p w14:paraId="1D478CCE">
      <w:pPr>
        <w:jc w:val="center"/>
      </w:pPr>
      <w:r>
        <w:rPr>
          <w:rFonts w:hint="eastAsia"/>
        </w:rPr>
        <w:t>图48</w:t>
      </w:r>
    </w:p>
    <w:p w14:paraId="3E3F1EBB">
      <w:pPr>
        <w:pStyle w:val="14"/>
        <w:ind w:firstLine="0" w:firstLineChars="0"/>
      </w:pPr>
      <w:r>
        <w:rPr>
          <w:rFonts w:hint="eastAsia"/>
        </w:rPr>
        <w:t>功能描述</w:t>
      </w:r>
    </w:p>
    <w:p w14:paraId="7277E943">
      <w:pPr>
        <w:pStyle w:val="14"/>
        <w:numPr>
          <w:ilvl w:val="0"/>
          <w:numId w:val="18"/>
        </w:numPr>
        <w:ind w:firstLineChars="0"/>
      </w:pPr>
      <w:r>
        <w:rPr>
          <w:rFonts w:hint="eastAsia"/>
        </w:rPr>
        <w:t>点击对应产品操作列中的“修改”按钮进入资料补充页面；</w:t>
      </w:r>
    </w:p>
    <w:p w14:paraId="4E721F75">
      <w:pPr>
        <w:pStyle w:val="14"/>
        <w:numPr>
          <w:ilvl w:val="0"/>
          <w:numId w:val="18"/>
        </w:numPr>
        <w:ind w:firstLineChars="0"/>
      </w:pPr>
      <w:r>
        <w:rPr>
          <w:rFonts w:hint="eastAsia"/>
        </w:rPr>
        <w:t>在资料补充页面上点击“提交”按钮完成资料补充的提交操作。</w:t>
      </w:r>
    </w:p>
    <w:p w14:paraId="778200FF">
      <w:pPr>
        <w:pStyle w:val="14"/>
        <w:ind w:firstLine="0" w:firstLineChars="0"/>
      </w:pPr>
      <w:r>
        <w:rPr>
          <w:rFonts w:hint="eastAsia"/>
        </w:rPr>
        <w:t>注意事项</w:t>
      </w:r>
    </w:p>
    <w:p w14:paraId="079CAB56">
      <w:pPr>
        <w:pStyle w:val="14"/>
        <w:ind w:firstLine="0" w:firstLineChars="0"/>
        <w:rPr>
          <w:b/>
          <w:bCs/>
          <w:color w:val="FF0000"/>
          <w:szCs w:val="21"/>
        </w:rPr>
      </w:pPr>
      <w:r>
        <w:rPr>
          <w:rFonts w:hint="eastAsia"/>
          <w:b/>
          <w:bCs/>
          <w:color w:val="FF0000"/>
          <w:szCs w:val="21"/>
        </w:rPr>
        <w:t>资料补充提交必须在申(投)诉补充资料提交结束时间之前。</w:t>
      </w:r>
    </w:p>
    <w:p w14:paraId="259B2622">
      <w:pPr>
        <w:pStyle w:val="14"/>
        <w:ind w:firstLine="0" w:firstLineChars="0"/>
        <w:rPr>
          <w:b/>
          <w:bCs/>
          <w:color w:val="FF0000"/>
          <w:szCs w:val="21"/>
        </w:rPr>
      </w:pPr>
    </w:p>
    <w:p w14:paraId="7FAB93D1">
      <w:pPr>
        <w:jc w:val="both"/>
        <w:outlineLvl w:val="2"/>
        <w:rPr>
          <w:b/>
          <w:bCs/>
        </w:rPr>
      </w:pPr>
      <w:r>
        <w:rPr>
          <w:rFonts w:hint="eastAsia"/>
          <w:b/>
          <w:bCs/>
        </w:rPr>
        <w:t>1.1.5.入围结果管理</w:t>
      </w:r>
    </w:p>
    <w:p w14:paraId="0E68EBA6">
      <w:pPr>
        <w:jc w:val="both"/>
        <w:outlineLvl w:val="3"/>
        <w:rPr>
          <w:b/>
          <w:bCs/>
        </w:rPr>
      </w:pPr>
      <w:r>
        <w:rPr>
          <w:rFonts w:hint="eastAsia"/>
          <w:b/>
          <w:bCs/>
        </w:rPr>
        <w:t>1.1.5.1.入围结果查询</w:t>
      </w:r>
    </w:p>
    <w:p w14:paraId="2540DDB6">
      <w:pPr>
        <w:ind w:firstLine="420" w:firstLineChars="200"/>
        <w:jc w:val="both"/>
      </w:pPr>
      <w:r>
        <w:rPr>
          <w:rFonts w:hint="eastAsia"/>
        </w:rPr>
        <w:t>点击【入围结果管理】模块下的“入围结果查询”链接进入结果查询页面，在该页面上展示本项目已入选招标结果信息（如图49所示）。</w:t>
      </w:r>
    </w:p>
    <w:p w14:paraId="1A3CE9AA">
      <w:r>
        <w:drawing>
          <wp:inline distT="0" distB="0" distL="0" distR="0">
            <wp:extent cx="5274310" cy="24777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cstate="print"/>
                    <a:stretch>
                      <a:fillRect/>
                    </a:stretch>
                  </pic:blipFill>
                  <pic:spPr>
                    <a:xfrm>
                      <a:off x="0" y="0"/>
                      <a:ext cx="5274310" cy="2477770"/>
                    </a:xfrm>
                    <a:prstGeom prst="rect">
                      <a:avLst/>
                    </a:prstGeom>
                  </pic:spPr>
                </pic:pic>
              </a:graphicData>
            </a:graphic>
          </wp:inline>
        </w:drawing>
      </w:r>
    </w:p>
    <w:p w14:paraId="26086B0D">
      <w:pPr>
        <w:jc w:val="center"/>
      </w:pPr>
      <w:r>
        <w:rPr>
          <w:rFonts w:hint="eastAsia"/>
        </w:rPr>
        <w:t>图49</w:t>
      </w:r>
    </w:p>
    <w:p w14:paraId="65BF6BA9">
      <w:pPr>
        <w:numPr>
          <w:ilvl w:val="1"/>
          <w:numId w:val="5"/>
        </w:numPr>
        <w:outlineLvl w:val="1"/>
        <w:rPr>
          <w:b/>
          <w:bCs/>
        </w:rPr>
      </w:pPr>
      <w:r>
        <w:rPr>
          <w:rFonts w:hint="eastAsia"/>
          <w:b/>
          <w:bCs/>
        </w:rPr>
        <w:t>配送企业</w:t>
      </w:r>
    </w:p>
    <w:p w14:paraId="5C166D4B">
      <w:pPr>
        <w:ind w:firstLine="420"/>
      </w:pPr>
      <w:r>
        <w:rPr>
          <w:rFonts w:hint="eastAsia"/>
        </w:rPr>
        <w:t>点击图48页面上的“招标管理”进入招标模块，点击页面上的【我的工作台】链接进入招标项目页面，在该页面上展示所有的招标项目，可根据“项目编号”及“项目名称”进行招标项目的查询（如图49所示）。</w:t>
      </w:r>
    </w:p>
    <w:p w14:paraId="175E966F">
      <w:r>
        <w:drawing>
          <wp:inline distT="0" distB="0" distL="114300" distR="114300">
            <wp:extent cx="5273040" cy="1828800"/>
            <wp:effectExtent l="0" t="0" r="0" b="0"/>
            <wp:docPr id="1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1"/>
                    <pic:cNvPicPr>
                      <a:picLocks noChangeAspect="1"/>
                    </pic:cNvPicPr>
                  </pic:nvPicPr>
                  <pic:blipFill>
                    <a:blip r:embed="rId56" cstate="print"/>
                    <a:stretch>
                      <a:fillRect/>
                    </a:stretch>
                  </pic:blipFill>
                  <pic:spPr>
                    <a:xfrm>
                      <a:off x="0" y="0"/>
                      <a:ext cx="5273040" cy="1828800"/>
                    </a:xfrm>
                    <a:prstGeom prst="rect">
                      <a:avLst/>
                    </a:prstGeom>
                    <a:noFill/>
                    <a:ln>
                      <a:noFill/>
                    </a:ln>
                  </pic:spPr>
                </pic:pic>
              </a:graphicData>
            </a:graphic>
          </wp:inline>
        </w:drawing>
      </w:r>
    </w:p>
    <w:p w14:paraId="5EB107BB">
      <w:pPr>
        <w:ind w:firstLine="420" w:firstLineChars="200"/>
        <w:jc w:val="center"/>
      </w:pPr>
      <w:r>
        <w:rPr>
          <w:rFonts w:hint="eastAsia"/>
        </w:rPr>
        <w:t>图50</w:t>
      </w:r>
    </w:p>
    <w:p w14:paraId="020294CA">
      <w:pPr>
        <w:jc w:val="both"/>
      </w:pPr>
      <w:r>
        <w:drawing>
          <wp:inline distT="0" distB="0" distL="114300" distR="114300">
            <wp:extent cx="5273040" cy="2164080"/>
            <wp:effectExtent l="0" t="0" r="0" b="0"/>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pic:cNvPicPr>
                  </pic:nvPicPr>
                  <pic:blipFill>
                    <a:blip r:embed="rId57" cstate="print"/>
                    <a:stretch>
                      <a:fillRect/>
                    </a:stretch>
                  </pic:blipFill>
                  <pic:spPr>
                    <a:xfrm>
                      <a:off x="0" y="0"/>
                      <a:ext cx="5273040" cy="2164080"/>
                    </a:xfrm>
                    <a:prstGeom prst="rect">
                      <a:avLst/>
                    </a:prstGeom>
                    <a:noFill/>
                    <a:ln>
                      <a:noFill/>
                    </a:ln>
                  </pic:spPr>
                </pic:pic>
              </a:graphicData>
            </a:graphic>
          </wp:inline>
        </w:drawing>
      </w:r>
    </w:p>
    <w:p w14:paraId="2559E8FC">
      <w:pPr>
        <w:jc w:val="center"/>
      </w:pPr>
      <w:r>
        <w:rPr>
          <w:rFonts w:hint="eastAsia"/>
        </w:rPr>
        <w:t>图50</w:t>
      </w:r>
    </w:p>
    <w:p w14:paraId="2FD607B1">
      <w:pPr>
        <w:ind w:firstLine="420" w:firstLineChars="200"/>
        <w:jc w:val="both"/>
      </w:pPr>
      <w:r>
        <w:rPr>
          <w:rFonts w:hint="eastAsia"/>
        </w:rPr>
        <w:t>点击“进入”按钮进行对应项目企业信息的维护报名工作（如图51所示）。</w:t>
      </w:r>
    </w:p>
    <w:p w14:paraId="1FB2E99B">
      <w:pPr>
        <w:jc w:val="both"/>
      </w:pPr>
      <w:r>
        <w:drawing>
          <wp:inline distT="0" distB="0" distL="114300" distR="114300">
            <wp:extent cx="5273040" cy="1653540"/>
            <wp:effectExtent l="0" t="0" r="0" b="7620"/>
            <wp:docPr id="12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pic:cNvPicPr>
                      <a:picLocks noChangeAspect="1"/>
                    </pic:cNvPicPr>
                  </pic:nvPicPr>
                  <pic:blipFill>
                    <a:blip r:embed="rId58" cstate="print"/>
                    <a:stretch>
                      <a:fillRect/>
                    </a:stretch>
                  </pic:blipFill>
                  <pic:spPr>
                    <a:xfrm>
                      <a:off x="0" y="0"/>
                      <a:ext cx="5273040" cy="1653540"/>
                    </a:xfrm>
                    <a:prstGeom prst="rect">
                      <a:avLst/>
                    </a:prstGeom>
                    <a:noFill/>
                    <a:ln>
                      <a:noFill/>
                    </a:ln>
                  </pic:spPr>
                </pic:pic>
              </a:graphicData>
            </a:graphic>
          </wp:inline>
        </w:drawing>
      </w:r>
    </w:p>
    <w:p w14:paraId="766CC992">
      <w:pPr>
        <w:jc w:val="center"/>
      </w:pPr>
      <w:r>
        <w:rPr>
          <w:rFonts w:hint="eastAsia"/>
        </w:rPr>
        <w:t>图51</w:t>
      </w:r>
    </w:p>
    <w:p w14:paraId="427902D7">
      <w:pPr>
        <w:numPr>
          <w:ilvl w:val="2"/>
          <w:numId w:val="5"/>
        </w:numPr>
        <w:jc w:val="both"/>
        <w:outlineLvl w:val="2"/>
        <w:rPr>
          <w:b/>
          <w:bCs/>
        </w:rPr>
      </w:pPr>
      <w:r>
        <w:rPr>
          <w:rFonts w:hint="eastAsia"/>
          <w:b/>
          <w:bCs/>
        </w:rPr>
        <w:t>配送企业报名管理</w:t>
      </w:r>
    </w:p>
    <w:p w14:paraId="43C88DC8">
      <w:pPr>
        <w:jc w:val="both"/>
        <w:outlineLvl w:val="3"/>
        <w:rPr>
          <w:b/>
          <w:bCs/>
        </w:rPr>
      </w:pPr>
      <w:r>
        <w:rPr>
          <w:rFonts w:hint="eastAsia"/>
          <w:b/>
          <w:bCs/>
        </w:rPr>
        <w:t>1.1.1.1、配送企业报名</w:t>
      </w:r>
    </w:p>
    <w:p w14:paraId="15A7572B">
      <w:pPr>
        <w:ind w:firstLine="420" w:firstLineChars="200"/>
        <w:jc w:val="both"/>
      </w:pPr>
      <w:r>
        <w:rPr>
          <w:rFonts w:hint="eastAsia"/>
        </w:rPr>
        <w:t>点击【配送企业报名管理】模块下的“配送企业报名”链接进入配送企业维护页面（如图52所示）。当招标项目开启报名后，在页面上方显示的报名时间内进行企业信息的维护与提交操作。</w:t>
      </w:r>
    </w:p>
    <w:p w14:paraId="3F591895">
      <w:pPr>
        <w:jc w:val="both"/>
      </w:pPr>
      <w:r>
        <w:drawing>
          <wp:inline distT="0" distB="0" distL="114300" distR="114300">
            <wp:extent cx="5273040" cy="1905000"/>
            <wp:effectExtent l="0" t="0" r="0" b="0"/>
            <wp:docPr id="1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pic:cNvPicPr>
                      <a:picLocks noChangeAspect="1"/>
                    </pic:cNvPicPr>
                  </pic:nvPicPr>
                  <pic:blipFill>
                    <a:blip r:embed="rId59" cstate="print"/>
                    <a:stretch>
                      <a:fillRect/>
                    </a:stretch>
                  </pic:blipFill>
                  <pic:spPr>
                    <a:xfrm>
                      <a:off x="0" y="0"/>
                      <a:ext cx="5273040" cy="1905000"/>
                    </a:xfrm>
                    <a:prstGeom prst="rect">
                      <a:avLst/>
                    </a:prstGeom>
                    <a:noFill/>
                    <a:ln>
                      <a:noFill/>
                    </a:ln>
                  </pic:spPr>
                </pic:pic>
              </a:graphicData>
            </a:graphic>
          </wp:inline>
        </w:drawing>
      </w:r>
    </w:p>
    <w:p w14:paraId="318ED5C1">
      <w:pPr>
        <w:jc w:val="center"/>
      </w:pPr>
      <w:r>
        <w:rPr>
          <w:rFonts w:hint="eastAsia"/>
        </w:rPr>
        <w:t>图52</w:t>
      </w:r>
    </w:p>
    <w:p w14:paraId="7AB029E0">
      <w:pPr>
        <w:ind w:firstLine="420" w:firstLineChars="200"/>
        <w:jc w:val="both"/>
      </w:pPr>
      <w:r>
        <w:rPr>
          <w:rFonts w:hint="eastAsia"/>
        </w:rPr>
        <w:t>点击“保存”按钮可新增与修改企业信息，企业信息填写完毕且确认无误后，点击“提交”按钮完成企业信息的维护工作（如图53所示）。</w:t>
      </w:r>
    </w:p>
    <w:p w14:paraId="53385A4C">
      <w:pPr>
        <w:jc w:val="center"/>
      </w:pPr>
      <w:r>
        <w:drawing>
          <wp:inline distT="0" distB="0" distL="114300" distR="114300">
            <wp:extent cx="5273040" cy="2034540"/>
            <wp:effectExtent l="0" t="0" r="0" b="7620"/>
            <wp:docPr id="13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5"/>
                    <pic:cNvPicPr>
                      <a:picLocks noChangeAspect="1"/>
                    </pic:cNvPicPr>
                  </pic:nvPicPr>
                  <pic:blipFill>
                    <a:blip r:embed="rId60" cstate="print"/>
                    <a:stretch>
                      <a:fillRect/>
                    </a:stretch>
                  </pic:blipFill>
                  <pic:spPr>
                    <a:xfrm>
                      <a:off x="0" y="0"/>
                      <a:ext cx="5273040" cy="2034540"/>
                    </a:xfrm>
                    <a:prstGeom prst="rect">
                      <a:avLst/>
                    </a:prstGeom>
                    <a:noFill/>
                    <a:ln>
                      <a:noFill/>
                    </a:ln>
                  </pic:spPr>
                </pic:pic>
              </a:graphicData>
            </a:graphic>
          </wp:inline>
        </w:drawing>
      </w:r>
    </w:p>
    <w:p w14:paraId="54173F35">
      <w:pPr>
        <w:jc w:val="center"/>
      </w:pPr>
      <w:r>
        <w:rPr>
          <w:rFonts w:hint="eastAsia"/>
        </w:rPr>
        <w:t>图53</w:t>
      </w:r>
    </w:p>
    <w:p w14:paraId="505FF43B">
      <w:pPr>
        <w:pStyle w:val="6"/>
        <w:numPr>
          <w:ilvl w:val="5"/>
          <w:numId w:val="0"/>
        </w:numPr>
        <w:tabs>
          <w:tab w:val="left" w:pos="1008"/>
          <w:tab w:val="clear" w:pos="1152"/>
        </w:tabs>
      </w:pPr>
      <w:r>
        <w:rPr>
          <w:rFonts w:hint="eastAsia"/>
        </w:rPr>
        <w:t>注意事项</w:t>
      </w:r>
    </w:p>
    <w:p w14:paraId="272BE5F1">
      <w:pPr>
        <w:pStyle w:val="14"/>
        <w:ind w:left="420" w:leftChars="200" w:firstLine="0" w:firstLineChars="0"/>
        <w:rPr>
          <w:b/>
          <w:bCs/>
          <w:color w:val="FF0000"/>
          <w:szCs w:val="21"/>
        </w:rPr>
      </w:pPr>
      <w:r>
        <w:rPr>
          <w:rFonts w:hint="eastAsia"/>
          <w:b/>
          <w:bCs/>
          <w:color w:val="FF0000"/>
          <w:szCs w:val="21"/>
        </w:rPr>
        <w:t>1.带*号的是必填项；</w:t>
      </w:r>
    </w:p>
    <w:p w14:paraId="3D6AFB4B">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1AD19259">
      <w:pPr>
        <w:pStyle w:val="14"/>
        <w:ind w:left="420" w:leftChars="200" w:firstLine="0" w:firstLineChars="0"/>
        <w:rPr>
          <w:b/>
          <w:bCs/>
          <w:color w:val="FF0000"/>
          <w:szCs w:val="21"/>
        </w:rPr>
      </w:pPr>
      <w:r>
        <w:rPr>
          <w:rFonts w:hint="eastAsia"/>
          <w:b/>
          <w:bCs/>
          <w:color w:val="FF0000"/>
          <w:szCs w:val="21"/>
        </w:rPr>
        <w:t>3.企业信息提交后不可进行修改。</w:t>
      </w:r>
    </w:p>
    <w:p w14:paraId="1DC16F53">
      <w:pPr>
        <w:jc w:val="both"/>
        <w:outlineLvl w:val="3"/>
        <w:rPr>
          <w:b/>
          <w:bCs/>
        </w:rPr>
      </w:pPr>
      <w:r>
        <w:rPr>
          <w:rFonts w:hint="eastAsia"/>
          <w:b/>
          <w:bCs/>
        </w:rPr>
        <w:t>1.1.1.2、企业信息审核修改</w:t>
      </w:r>
    </w:p>
    <w:p w14:paraId="11F3D60A">
      <w:pPr>
        <w:ind w:firstLine="420" w:firstLineChars="200"/>
      </w:pPr>
      <w:r>
        <w:rPr>
          <w:rFonts w:hint="eastAsia"/>
        </w:rPr>
        <w:t>企业提交报名信息后，当审核状态为“初审不通过”或“复审不通过”时可对不通过的信息进行修改操作（如图54所示）。当审核状态为“初审通过”或“复审通过”时只能进行信息的查看，不可修改（如图55所示）。</w:t>
      </w:r>
    </w:p>
    <w:p w14:paraId="300A5FE7">
      <w:pPr>
        <w:ind w:firstLine="420" w:firstLineChars="200"/>
      </w:pPr>
      <w:r>
        <w:drawing>
          <wp:inline distT="0" distB="0" distL="114300" distR="114300">
            <wp:extent cx="5273040" cy="2476500"/>
            <wp:effectExtent l="0" t="0" r="0" b="7620"/>
            <wp:docPr id="13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6"/>
                    <pic:cNvPicPr>
                      <a:picLocks noChangeAspect="1"/>
                    </pic:cNvPicPr>
                  </pic:nvPicPr>
                  <pic:blipFill>
                    <a:blip r:embed="rId61" cstate="print"/>
                    <a:stretch>
                      <a:fillRect/>
                    </a:stretch>
                  </pic:blipFill>
                  <pic:spPr>
                    <a:xfrm>
                      <a:off x="0" y="0"/>
                      <a:ext cx="5273040" cy="2476500"/>
                    </a:xfrm>
                    <a:prstGeom prst="rect">
                      <a:avLst/>
                    </a:prstGeom>
                    <a:noFill/>
                    <a:ln>
                      <a:noFill/>
                    </a:ln>
                  </pic:spPr>
                </pic:pic>
              </a:graphicData>
            </a:graphic>
          </wp:inline>
        </w:drawing>
      </w:r>
    </w:p>
    <w:p w14:paraId="159E62AC">
      <w:pPr>
        <w:jc w:val="center"/>
      </w:pPr>
      <w:r>
        <w:rPr>
          <w:rFonts w:hint="eastAsia"/>
        </w:rPr>
        <w:t>图54</w:t>
      </w:r>
    </w:p>
    <w:p w14:paraId="4CA12669">
      <w:r>
        <w:drawing>
          <wp:inline distT="0" distB="0" distL="114300" distR="114300">
            <wp:extent cx="5273040" cy="2476500"/>
            <wp:effectExtent l="0" t="0" r="0" b="7620"/>
            <wp:docPr id="13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7"/>
                    <pic:cNvPicPr>
                      <a:picLocks noChangeAspect="1"/>
                    </pic:cNvPicPr>
                  </pic:nvPicPr>
                  <pic:blipFill>
                    <a:blip r:embed="rId62" cstate="print"/>
                    <a:stretch>
                      <a:fillRect/>
                    </a:stretch>
                  </pic:blipFill>
                  <pic:spPr>
                    <a:xfrm>
                      <a:off x="0" y="0"/>
                      <a:ext cx="5273040" cy="2476500"/>
                    </a:xfrm>
                    <a:prstGeom prst="rect">
                      <a:avLst/>
                    </a:prstGeom>
                    <a:noFill/>
                    <a:ln>
                      <a:noFill/>
                    </a:ln>
                  </pic:spPr>
                </pic:pic>
              </a:graphicData>
            </a:graphic>
          </wp:inline>
        </w:drawing>
      </w:r>
    </w:p>
    <w:p w14:paraId="1DF76DD8">
      <w:pPr>
        <w:jc w:val="center"/>
      </w:pPr>
      <w:r>
        <w:rPr>
          <w:rFonts w:hint="eastAsia"/>
        </w:rPr>
        <w:t>图55</w:t>
      </w:r>
    </w:p>
    <w:p w14:paraId="69408B12">
      <w:pPr>
        <w:pStyle w:val="6"/>
        <w:numPr>
          <w:ilvl w:val="5"/>
          <w:numId w:val="0"/>
        </w:numPr>
        <w:tabs>
          <w:tab w:val="left" w:pos="1008"/>
          <w:tab w:val="clear" w:pos="1152"/>
        </w:tabs>
      </w:pPr>
      <w:r>
        <w:rPr>
          <w:rFonts w:hint="eastAsia"/>
        </w:rPr>
        <w:t>注意事项</w:t>
      </w:r>
    </w:p>
    <w:p w14:paraId="273C7838">
      <w:pPr>
        <w:pStyle w:val="14"/>
        <w:ind w:left="420" w:leftChars="200" w:firstLine="0" w:firstLineChars="0"/>
        <w:rPr>
          <w:b/>
          <w:bCs/>
          <w:color w:val="FF0000"/>
          <w:szCs w:val="21"/>
        </w:rPr>
      </w:pPr>
      <w:r>
        <w:rPr>
          <w:rFonts w:hint="eastAsia"/>
          <w:b/>
          <w:bCs/>
          <w:color w:val="FF0000"/>
          <w:szCs w:val="21"/>
        </w:rPr>
        <w:t>1.带*号的是必填项；</w:t>
      </w:r>
    </w:p>
    <w:p w14:paraId="6EEBCAAC">
      <w:pPr>
        <w:pStyle w:val="14"/>
        <w:ind w:left="420" w:leftChars="200" w:firstLine="0" w:firstLineChars="0"/>
        <w:rPr>
          <w:b/>
          <w:bCs/>
          <w:color w:val="FF0000"/>
          <w:szCs w:val="21"/>
        </w:rPr>
      </w:pPr>
      <w:r>
        <w:rPr>
          <w:rFonts w:hint="eastAsia"/>
          <w:b/>
          <w:bCs/>
          <w:color w:val="FF0000"/>
          <w:szCs w:val="21"/>
        </w:rPr>
        <w:t>2.没有填写或者漏填时，会有相应的提示信息；</w:t>
      </w:r>
    </w:p>
    <w:p w14:paraId="35974DC8">
      <w:pPr>
        <w:pStyle w:val="14"/>
        <w:ind w:left="420" w:leftChars="200" w:firstLine="0" w:firstLineChars="0"/>
        <w:rPr>
          <w:b/>
          <w:bCs/>
          <w:color w:val="FF0000"/>
          <w:szCs w:val="21"/>
        </w:rPr>
      </w:pPr>
      <w:r>
        <w:rPr>
          <w:rFonts w:hint="eastAsia"/>
          <w:b/>
          <w:bCs/>
          <w:color w:val="FF0000"/>
          <w:szCs w:val="21"/>
        </w:rPr>
        <w:t>3.审核不通过企业只能修改审核不通过的选项；</w:t>
      </w:r>
    </w:p>
    <w:p w14:paraId="69AE1294">
      <w:pPr>
        <w:pStyle w:val="14"/>
        <w:ind w:left="420" w:leftChars="200" w:firstLine="0" w:firstLineChars="0"/>
      </w:pPr>
      <w:r>
        <w:rPr>
          <w:rFonts w:hint="eastAsia"/>
          <w:b/>
          <w:bCs/>
          <w:color w:val="FF0000"/>
          <w:szCs w:val="21"/>
        </w:rPr>
        <w:t>4.修改完成后必须再次对修改的信息进行提交操作。</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公文仿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2443"/>
      <w:docPartObj>
        <w:docPartGallery w:val="autotext"/>
      </w:docPartObj>
    </w:sdtPr>
    <w:sdtContent>
      <w:p w14:paraId="24D9FCB9">
        <w:pPr>
          <w:pStyle w:val="10"/>
          <w:jc w:val="center"/>
        </w:pPr>
        <w:r>
          <w:fldChar w:fldCharType="begin"/>
        </w:r>
        <w:r>
          <w:instrText xml:space="preserve"> PAGE   \* MERGEFORMAT </w:instrText>
        </w:r>
        <w:r>
          <w:fldChar w:fldCharType="separate"/>
        </w:r>
        <w:r>
          <w:rPr>
            <w:lang w:val="zh-CN"/>
          </w:rPr>
          <w:t>2</w:t>
        </w:r>
        <w:r>
          <w:rPr>
            <w:lang w:val="zh-CN"/>
          </w:rPr>
          <w:fldChar w:fldCharType="end"/>
        </w:r>
      </w:p>
    </w:sdtContent>
  </w:sdt>
  <w:p w14:paraId="14982A51">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6F3AD"/>
    <w:multiLevelType w:val="singleLevel"/>
    <w:tmpl w:val="86C6F3AD"/>
    <w:lvl w:ilvl="0" w:tentative="0">
      <w:start w:val="1"/>
      <w:numFmt w:val="decimal"/>
      <w:lvlText w:val="%1."/>
      <w:lvlJc w:val="left"/>
      <w:pPr>
        <w:tabs>
          <w:tab w:val="left" w:pos="312"/>
        </w:tabs>
      </w:pPr>
    </w:lvl>
  </w:abstractNum>
  <w:abstractNum w:abstractNumId="1">
    <w:nsid w:val="8886BC1A"/>
    <w:multiLevelType w:val="multilevel"/>
    <w:tmpl w:val="8886BC1A"/>
    <w:lvl w:ilvl="0" w:tentative="0">
      <w:start w:val="1"/>
      <w:numFmt w:val="decimal"/>
      <w:lvlText w:val="%1"/>
      <w:lvlJc w:val="left"/>
      <w:pPr>
        <w:tabs>
          <w:tab w:val="left" w:pos="295"/>
        </w:tabs>
        <w:ind w:left="295" w:hanging="432"/>
      </w:pPr>
      <w:rPr>
        <w:rFonts w:hint="eastAsia"/>
        <w:b/>
        <w:sz w:val="44"/>
      </w:rPr>
    </w:lvl>
    <w:lvl w:ilvl="1" w:tentative="0">
      <w:start w:val="1"/>
      <w:numFmt w:val="decimal"/>
      <w:lvlText w:val="%1.%2"/>
      <w:lvlJc w:val="left"/>
      <w:pPr>
        <w:tabs>
          <w:tab w:val="left" w:pos="439"/>
        </w:tabs>
        <w:ind w:left="439" w:hanging="576"/>
      </w:pPr>
      <w:rPr>
        <w:rFonts w:hint="eastAsia"/>
        <w:b/>
        <w:sz w:val="36"/>
      </w:rPr>
    </w:lvl>
    <w:lvl w:ilvl="2" w:tentative="0">
      <w:start w:val="1"/>
      <w:numFmt w:val="decimal"/>
      <w:lvlText w:val="%1.%2.%3"/>
      <w:lvlJc w:val="left"/>
      <w:pPr>
        <w:tabs>
          <w:tab w:val="left" w:pos="583"/>
        </w:tabs>
        <w:ind w:left="583" w:hanging="720"/>
      </w:pPr>
      <w:rPr>
        <w:rFonts w:hint="eastAsia"/>
        <w:b/>
        <w:sz w:val="32"/>
      </w:rPr>
    </w:lvl>
    <w:lvl w:ilvl="3" w:tentative="0">
      <w:start w:val="1"/>
      <w:numFmt w:val="decimal"/>
      <w:pStyle w:val="4"/>
      <w:lvlText w:val="%1.%2.%3.%4"/>
      <w:lvlJc w:val="left"/>
      <w:pPr>
        <w:tabs>
          <w:tab w:val="left" w:pos="727"/>
        </w:tabs>
        <w:ind w:left="727" w:hanging="864"/>
      </w:pPr>
      <w:rPr>
        <w:rFonts w:hint="eastAsia"/>
        <w:b/>
        <w:sz w:val="30"/>
      </w:rPr>
    </w:lvl>
    <w:lvl w:ilvl="4" w:tentative="0">
      <w:start w:val="1"/>
      <w:numFmt w:val="decimal"/>
      <w:lvlText w:val="%1.%2.%3.%4.%5"/>
      <w:lvlJc w:val="left"/>
      <w:pPr>
        <w:tabs>
          <w:tab w:val="left" w:pos="871"/>
        </w:tabs>
        <w:ind w:left="871" w:hanging="1008"/>
      </w:pPr>
      <w:rPr>
        <w:rFonts w:hint="default"/>
        <w:b/>
        <w:sz w:val="28"/>
      </w:rPr>
    </w:lvl>
    <w:lvl w:ilvl="5" w:tentative="0">
      <w:start w:val="1"/>
      <w:numFmt w:val="decimal"/>
      <w:lvlText w:val="%1.%2.%3.%4.%5.%6"/>
      <w:lvlJc w:val="left"/>
      <w:pPr>
        <w:tabs>
          <w:tab w:val="left" w:pos="1015"/>
        </w:tabs>
        <w:ind w:left="1015" w:hanging="1152"/>
      </w:pPr>
      <w:rPr>
        <w:rFonts w:hint="default"/>
        <w:b/>
        <w:sz w:val="24"/>
      </w:rPr>
    </w:lvl>
    <w:lvl w:ilvl="6" w:tentative="0">
      <w:start w:val="1"/>
      <w:numFmt w:val="decimal"/>
      <w:lvlText w:val="%1.%2.%3.%4.%5.%6.%7"/>
      <w:lvlJc w:val="left"/>
      <w:pPr>
        <w:tabs>
          <w:tab w:val="left" w:pos="1159"/>
        </w:tabs>
        <w:ind w:left="1159" w:hanging="1296"/>
      </w:pPr>
      <w:rPr>
        <w:rFonts w:hint="eastAsia"/>
        <w:b/>
        <w:sz w:val="24"/>
      </w:rPr>
    </w:lvl>
    <w:lvl w:ilvl="7" w:tentative="0">
      <w:start w:val="1"/>
      <w:numFmt w:val="decimal"/>
      <w:lvlText w:val="%1.%2.%3.%4.%5.%6.%7.%8"/>
      <w:lvlJc w:val="left"/>
      <w:pPr>
        <w:tabs>
          <w:tab w:val="left" w:pos="1303"/>
        </w:tabs>
        <w:ind w:left="1303" w:hanging="1440"/>
      </w:pPr>
      <w:rPr>
        <w:rFonts w:hint="eastAsia"/>
        <w:b/>
        <w:sz w:val="24"/>
      </w:rPr>
    </w:lvl>
    <w:lvl w:ilvl="8" w:tentative="0">
      <w:start w:val="1"/>
      <w:numFmt w:val="decimal"/>
      <w:lvlText w:val="%1.%2.%3.%4.%5.%6.%7.%8.%9"/>
      <w:lvlJc w:val="left"/>
      <w:pPr>
        <w:tabs>
          <w:tab w:val="left" w:pos="1447"/>
        </w:tabs>
        <w:ind w:left="1447" w:hanging="1584"/>
      </w:pPr>
      <w:rPr>
        <w:rFonts w:hint="eastAsia"/>
        <w:b/>
        <w:sz w:val="24"/>
      </w:rPr>
    </w:lvl>
  </w:abstractNum>
  <w:abstractNum w:abstractNumId="2">
    <w:nsid w:val="8A0EE114"/>
    <w:multiLevelType w:val="singleLevel"/>
    <w:tmpl w:val="8A0EE114"/>
    <w:lvl w:ilvl="0" w:tentative="0">
      <w:start w:val="1"/>
      <w:numFmt w:val="decimal"/>
      <w:lvlText w:val="%1."/>
      <w:lvlJc w:val="left"/>
      <w:pPr>
        <w:ind w:left="425" w:hanging="425"/>
      </w:pPr>
      <w:rPr>
        <w:rFonts w:hint="default"/>
      </w:rPr>
    </w:lvl>
  </w:abstractNum>
  <w:abstractNum w:abstractNumId="3">
    <w:nsid w:val="8DD1B836"/>
    <w:multiLevelType w:val="singleLevel"/>
    <w:tmpl w:val="8DD1B836"/>
    <w:lvl w:ilvl="0" w:tentative="0">
      <w:start w:val="1"/>
      <w:numFmt w:val="decimal"/>
      <w:lvlText w:val="%1."/>
      <w:lvlJc w:val="left"/>
      <w:pPr>
        <w:tabs>
          <w:tab w:val="left" w:pos="312"/>
        </w:tabs>
      </w:pPr>
    </w:lvl>
  </w:abstractNum>
  <w:abstractNum w:abstractNumId="4">
    <w:nsid w:val="8FB5AD3B"/>
    <w:multiLevelType w:val="singleLevel"/>
    <w:tmpl w:val="8FB5AD3B"/>
    <w:lvl w:ilvl="0" w:tentative="0">
      <w:start w:val="1"/>
      <w:numFmt w:val="none"/>
      <w:lvlText w:val="1."/>
      <w:lvlJc w:val="left"/>
      <w:pPr>
        <w:tabs>
          <w:tab w:val="left" w:pos="420"/>
        </w:tabs>
        <w:ind w:left="425" w:hanging="425"/>
      </w:pPr>
      <w:rPr>
        <w:rFonts w:hint="default"/>
      </w:rPr>
    </w:lvl>
  </w:abstractNum>
  <w:abstractNum w:abstractNumId="5">
    <w:nsid w:val="B7A8D70D"/>
    <w:multiLevelType w:val="singleLevel"/>
    <w:tmpl w:val="B7A8D70D"/>
    <w:lvl w:ilvl="0" w:tentative="0">
      <w:start w:val="1"/>
      <w:numFmt w:val="decimal"/>
      <w:lvlText w:val="%1."/>
      <w:lvlJc w:val="left"/>
      <w:pPr>
        <w:ind w:left="425" w:hanging="425"/>
      </w:pPr>
      <w:rPr>
        <w:rFonts w:hint="default"/>
      </w:rPr>
    </w:lvl>
  </w:abstractNum>
  <w:abstractNum w:abstractNumId="6">
    <w:nsid w:val="D6747AAC"/>
    <w:multiLevelType w:val="singleLevel"/>
    <w:tmpl w:val="D6747AAC"/>
    <w:lvl w:ilvl="0" w:tentative="0">
      <w:start w:val="1"/>
      <w:numFmt w:val="decimal"/>
      <w:lvlText w:val="%1."/>
      <w:lvlJc w:val="left"/>
      <w:pPr>
        <w:tabs>
          <w:tab w:val="left" w:pos="312"/>
        </w:tabs>
      </w:pPr>
    </w:lvl>
  </w:abstractNum>
  <w:abstractNum w:abstractNumId="7">
    <w:nsid w:val="E376F52E"/>
    <w:multiLevelType w:val="singleLevel"/>
    <w:tmpl w:val="E376F52E"/>
    <w:lvl w:ilvl="0" w:tentative="0">
      <w:start w:val="1"/>
      <w:numFmt w:val="decimal"/>
      <w:lvlText w:val="%1."/>
      <w:lvlJc w:val="left"/>
      <w:pPr>
        <w:tabs>
          <w:tab w:val="left" w:pos="312"/>
        </w:tabs>
      </w:pPr>
    </w:lvl>
  </w:abstractNum>
  <w:abstractNum w:abstractNumId="8">
    <w:nsid w:val="E81F9B16"/>
    <w:multiLevelType w:val="singleLevel"/>
    <w:tmpl w:val="E81F9B16"/>
    <w:lvl w:ilvl="0" w:tentative="0">
      <w:start w:val="1"/>
      <w:numFmt w:val="decimal"/>
      <w:lvlText w:val="%1."/>
      <w:lvlJc w:val="left"/>
      <w:pPr>
        <w:tabs>
          <w:tab w:val="left" w:pos="312"/>
        </w:tabs>
      </w:pPr>
    </w:lvl>
  </w:abstractNum>
  <w:abstractNum w:abstractNumId="9">
    <w:nsid w:val="FBFE9F13"/>
    <w:multiLevelType w:val="multilevel"/>
    <w:tmpl w:val="FBFE9F13"/>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0">
    <w:nsid w:val="01F0CE03"/>
    <w:multiLevelType w:val="singleLevel"/>
    <w:tmpl w:val="01F0CE03"/>
    <w:lvl w:ilvl="0" w:tentative="0">
      <w:start w:val="1"/>
      <w:numFmt w:val="decimal"/>
      <w:lvlText w:val="%1."/>
      <w:lvlJc w:val="left"/>
      <w:pPr>
        <w:tabs>
          <w:tab w:val="left" w:pos="312"/>
        </w:tabs>
      </w:pPr>
    </w:lvl>
  </w:abstractNum>
  <w:abstractNum w:abstractNumId="11">
    <w:nsid w:val="01F82F49"/>
    <w:multiLevelType w:val="multilevel"/>
    <w:tmpl w:val="01F82F49"/>
    <w:lvl w:ilvl="0" w:tentative="0">
      <w:start w:val="1"/>
      <w:numFmt w:val="decimal"/>
      <w:pStyle w:val="19"/>
      <w:suff w:val="space"/>
      <w:lvlText w:val="图%1"/>
      <w:lvlJc w:val="left"/>
      <w:pPr>
        <w:ind w:left="5523" w:hanging="420"/>
      </w:pPr>
      <w:rPr>
        <w:rFonts w:hint="eastAsia" w:eastAsia="宋体" w:asciiTheme="majorEastAsia" w:hAnsiTheme="major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32DF524"/>
    <w:multiLevelType w:val="singleLevel"/>
    <w:tmpl w:val="132DF524"/>
    <w:lvl w:ilvl="0" w:tentative="0">
      <w:start w:val="1"/>
      <w:numFmt w:val="decimal"/>
      <w:lvlText w:val="%1."/>
      <w:lvlJc w:val="left"/>
      <w:pPr>
        <w:ind w:left="425" w:hanging="425"/>
      </w:pPr>
      <w:rPr>
        <w:rFonts w:hint="default"/>
      </w:rPr>
    </w:lvl>
  </w:abstractNum>
  <w:abstractNum w:abstractNumId="13">
    <w:nsid w:val="29E20882"/>
    <w:multiLevelType w:val="singleLevel"/>
    <w:tmpl w:val="29E20882"/>
    <w:lvl w:ilvl="0" w:tentative="0">
      <w:start w:val="2"/>
      <w:numFmt w:val="decimal"/>
      <w:lvlText w:val="%1."/>
      <w:lvlJc w:val="left"/>
      <w:pPr>
        <w:tabs>
          <w:tab w:val="left" w:pos="420"/>
        </w:tabs>
        <w:ind w:left="425" w:hanging="425"/>
      </w:pPr>
      <w:rPr>
        <w:rFonts w:hint="default"/>
      </w:rPr>
    </w:lvl>
  </w:abstractNum>
  <w:abstractNum w:abstractNumId="14">
    <w:nsid w:val="39083D88"/>
    <w:multiLevelType w:val="singleLevel"/>
    <w:tmpl w:val="39083D88"/>
    <w:lvl w:ilvl="0" w:tentative="0">
      <w:start w:val="1"/>
      <w:numFmt w:val="decimal"/>
      <w:lvlText w:val="%1."/>
      <w:lvlJc w:val="left"/>
      <w:pPr>
        <w:tabs>
          <w:tab w:val="left" w:pos="312"/>
        </w:tabs>
      </w:pPr>
    </w:lvl>
  </w:abstractNum>
  <w:abstractNum w:abstractNumId="15">
    <w:nsid w:val="3D79162E"/>
    <w:multiLevelType w:val="multilevel"/>
    <w:tmpl w:val="3D79162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C5FFC37"/>
    <w:multiLevelType w:val="multilevel"/>
    <w:tmpl w:val="4C5FFC37"/>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rFonts w:hint="eastAsia"/>
        <w:b/>
        <w:bCs/>
        <w:i w:val="0"/>
        <w:iCs w:val="0"/>
        <w:caps w:val="0"/>
        <w:smallCaps w:val="0"/>
        <w:strike w:val="0"/>
        <w:dstrike w:val="0"/>
        <w:vanish w:val="0"/>
        <w:color w:val="000000"/>
        <w:spacing w:val="0"/>
        <w:position w:val="0"/>
        <w:u w:val="none"/>
        <w:vertAlign w:val="baseline"/>
      </w:rPr>
    </w:lvl>
    <w:lvl w:ilvl="2" w:tentative="0">
      <w:start w:val="1"/>
      <w:numFmt w:val="decimal"/>
      <w:pStyle w:val="16"/>
      <w:suff w:val="space"/>
      <w:lvlText w:val="%1.%2.%3"/>
      <w:lvlJc w:val="left"/>
      <w:pPr>
        <w:ind w:left="1134" w:hanging="1134"/>
      </w:pPr>
      <w:rPr>
        <w:rFonts w:hint="eastAsia" w:ascii="宋体" w:hAnsi="宋体" w:eastAsia="宋体"/>
        <w:sz w:val="24"/>
        <w:szCs w:val="24"/>
      </w:rPr>
    </w:lvl>
    <w:lvl w:ilvl="3" w:tentative="0">
      <w:start w:val="1"/>
      <w:numFmt w:val="decimal"/>
      <w:pStyle w:val="17"/>
      <w:suff w:val="space"/>
      <w:lvlText w:val="%1.%2.%3.%4"/>
      <w:lvlJc w:val="left"/>
      <w:pPr>
        <w:ind w:left="1764" w:hanging="1134"/>
      </w:pPr>
      <w:rPr>
        <w:rFonts w:hint="default" w:ascii="Arial" w:hAnsi="Arial" w:eastAsia="宋体" w:cs="Arial"/>
        <w:b w:val="0"/>
      </w:rPr>
    </w:lvl>
    <w:lvl w:ilvl="4" w:tentative="0">
      <w:start w:val="1"/>
      <w:numFmt w:val="decimal"/>
      <w:pStyle w:val="5"/>
      <w:lvlText w:val="%1.%2.%3.%4.%5"/>
      <w:lvlJc w:val="left"/>
      <w:pPr>
        <w:tabs>
          <w:tab w:val="left" w:pos="2426"/>
        </w:tabs>
        <w:ind w:left="2426" w:hanging="1008"/>
      </w:pPr>
      <w:rPr>
        <w:rFonts w:hint="default" w:ascii="Arial" w:hAnsi="Arial" w:cs="Arial"/>
        <w:b w:val="0"/>
      </w:rPr>
    </w:lvl>
    <w:lvl w:ilvl="5" w:tentative="0">
      <w:start w:val="1"/>
      <w:numFmt w:val="decimal"/>
      <w:pStyle w:val="6"/>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5BB8B1B0"/>
    <w:multiLevelType w:val="singleLevel"/>
    <w:tmpl w:val="5BB8B1B0"/>
    <w:lvl w:ilvl="0" w:tentative="0">
      <w:start w:val="1"/>
      <w:numFmt w:val="decimal"/>
      <w:lvlText w:val="%1."/>
      <w:lvlJc w:val="left"/>
      <w:pPr>
        <w:tabs>
          <w:tab w:val="left" w:pos="312"/>
        </w:tabs>
      </w:pPr>
    </w:lvl>
  </w:abstractNum>
  <w:num w:numId="1">
    <w:abstractNumId w:val="1"/>
  </w:num>
  <w:num w:numId="2">
    <w:abstractNumId w:val="16"/>
  </w:num>
  <w:num w:numId="3">
    <w:abstractNumId w:val="11"/>
  </w:num>
  <w:num w:numId="4">
    <w:abstractNumId w:val="15"/>
  </w:num>
  <w:num w:numId="5">
    <w:abstractNumId w:val="9"/>
  </w:num>
  <w:num w:numId="6">
    <w:abstractNumId w:val="0"/>
  </w:num>
  <w:num w:numId="7">
    <w:abstractNumId w:val="14"/>
  </w:num>
  <w:num w:numId="8">
    <w:abstractNumId w:val="3"/>
  </w:num>
  <w:num w:numId="9">
    <w:abstractNumId w:val="8"/>
  </w:num>
  <w:num w:numId="10">
    <w:abstractNumId w:val="6"/>
  </w:num>
  <w:num w:numId="11">
    <w:abstractNumId w:val="17"/>
  </w:num>
  <w:num w:numId="12">
    <w:abstractNumId w:val="2"/>
  </w:num>
  <w:num w:numId="13">
    <w:abstractNumId w:val="12"/>
  </w:num>
  <w:num w:numId="14">
    <w:abstractNumId w:val="4"/>
  </w:num>
  <w:num w:numId="15">
    <w:abstractNumId w:val="13"/>
  </w:num>
  <w:num w:numId="16">
    <w:abstractNumId w:val="7"/>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5F5CA2"/>
    <w:rsid w:val="00020D0F"/>
    <w:rsid w:val="001030DE"/>
    <w:rsid w:val="00110819"/>
    <w:rsid w:val="001271D9"/>
    <w:rsid w:val="001E285D"/>
    <w:rsid w:val="001F4AC6"/>
    <w:rsid w:val="00240A7C"/>
    <w:rsid w:val="002617FA"/>
    <w:rsid w:val="002C5463"/>
    <w:rsid w:val="00362DD4"/>
    <w:rsid w:val="004A38B4"/>
    <w:rsid w:val="00540D8C"/>
    <w:rsid w:val="00572AC4"/>
    <w:rsid w:val="005A1A3F"/>
    <w:rsid w:val="005E40DC"/>
    <w:rsid w:val="00613551"/>
    <w:rsid w:val="00667919"/>
    <w:rsid w:val="006B1065"/>
    <w:rsid w:val="00725392"/>
    <w:rsid w:val="00734FC4"/>
    <w:rsid w:val="007863FB"/>
    <w:rsid w:val="00994367"/>
    <w:rsid w:val="009C13BD"/>
    <w:rsid w:val="00A62E27"/>
    <w:rsid w:val="00A974DB"/>
    <w:rsid w:val="00AD1FB0"/>
    <w:rsid w:val="00AD2920"/>
    <w:rsid w:val="00C5434A"/>
    <w:rsid w:val="00D45150"/>
    <w:rsid w:val="00D66473"/>
    <w:rsid w:val="00D80060"/>
    <w:rsid w:val="00E42625"/>
    <w:rsid w:val="00EB0E59"/>
    <w:rsid w:val="01226666"/>
    <w:rsid w:val="02724E28"/>
    <w:rsid w:val="04DF2A89"/>
    <w:rsid w:val="08E34F3E"/>
    <w:rsid w:val="0EC5579B"/>
    <w:rsid w:val="0F5F5CA2"/>
    <w:rsid w:val="10496F10"/>
    <w:rsid w:val="13AF40B2"/>
    <w:rsid w:val="16100CCB"/>
    <w:rsid w:val="16260686"/>
    <w:rsid w:val="189F3B23"/>
    <w:rsid w:val="19014A5C"/>
    <w:rsid w:val="192222BC"/>
    <w:rsid w:val="1AAF0C30"/>
    <w:rsid w:val="1B3869C6"/>
    <w:rsid w:val="1D1041B5"/>
    <w:rsid w:val="1F957661"/>
    <w:rsid w:val="1FD939FE"/>
    <w:rsid w:val="1FFE74A9"/>
    <w:rsid w:val="227824B7"/>
    <w:rsid w:val="22E5685F"/>
    <w:rsid w:val="23A07360"/>
    <w:rsid w:val="265D0F1E"/>
    <w:rsid w:val="27B9781B"/>
    <w:rsid w:val="2856032D"/>
    <w:rsid w:val="28754AD9"/>
    <w:rsid w:val="29787152"/>
    <w:rsid w:val="2A3509F5"/>
    <w:rsid w:val="2A952319"/>
    <w:rsid w:val="2ABD31CA"/>
    <w:rsid w:val="2B8D0EB2"/>
    <w:rsid w:val="2CC60B8C"/>
    <w:rsid w:val="2D15052C"/>
    <w:rsid w:val="2D1C4354"/>
    <w:rsid w:val="341826FE"/>
    <w:rsid w:val="341C50C1"/>
    <w:rsid w:val="344042F4"/>
    <w:rsid w:val="34EC7873"/>
    <w:rsid w:val="354C1FF3"/>
    <w:rsid w:val="3749356A"/>
    <w:rsid w:val="37D92293"/>
    <w:rsid w:val="38E5591E"/>
    <w:rsid w:val="39956262"/>
    <w:rsid w:val="3CA4322F"/>
    <w:rsid w:val="3DDB60DF"/>
    <w:rsid w:val="3E2B723E"/>
    <w:rsid w:val="3E4E5448"/>
    <w:rsid w:val="40C0746D"/>
    <w:rsid w:val="41222E0A"/>
    <w:rsid w:val="41496F7E"/>
    <w:rsid w:val="4387280C"/>
    <w:rsid w:val="44745B09"/>
    <w:rsid w:val="44E16B7D"/>
    <w:rsid w:val="45E17D8E"/>
    <w:rsid w:val="486C0DE8"/>
    <w:rsid w:val="489D2DAD"/>
    <w:rsid w:val="49253A80"/>
    <w:rsid w:val="4BA44B3F"/>
    <w:rsid w:val="4BBC57CA"/>
    <w:rsid w:val="4D274953"/>
    <w:rsid w:val="4EB4289E"/>
    <w:rsid w:val="4F3E7DD8"/>
    <w:rsid w:val="509818EC"/>
    <w:rsid w:val="522D0598"/>
    <w:rsid w:val="530428EC"/>
    <w:rsid w:val="536B3B63"/>
    <w:rsid w:val="54437CBE"/>
    <w:rsid w:val="57BA5A2E"/>
    <w:rsid w:val="58913386"/>
    <w:rsid w:val="5C937738"/>
    <w:rsid w:val="600D684B"/>
    <w:rsid w:val="61EE6CBB"/>
    <w:rsid w:val="620B0E46"/>
    <w:rsid w:val="63DB16D2"/>
    <w:rsid w:val="64B754AA"/>
    <w:rsid w:val="64C337F1"/>
    <w:rsid w:val="66947DDD"/>
    <w:rsid w:val="676417F6"/>
    <w:rsid w:val="6AB95BC3"/>
    <w:rsid w:val="6ABD189E"/>
    <w:rsid w:val="6AF57163"/>
    <w:rsid w:val="6D3021DC"/>
    <w:rsid w:val="6DB66966"/>
    <w:rsid w:val="6EBD5206"/>
    <w:rsid w:val="70701590"/>
    <w:rsid w:val="711D20B6"/>
    <w:rsid w:val="72D421A5"/>
    <w:rsid w:val="740F5677"/>
    <w:rsid w:val="74791116"/>
    <w:rsid w:val="7B4B0203"/>
    <w:rsid w:val="7CA6673D"/>
    <w:rsid w:val="7D4C4FD4"/>
    <w:rsid w:val="7EA43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9" w:semiHidden="0" w:name="heading 4"/>
    <w:lsdException w:qFormat="1" w:unhideWhenUsed="0"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qFormat/>
    <w:uiPriority w:val="0"/>
    <w:pPr>
      <w:spacing w:beforeAutospacing="1" w:afterAutospacing="1"/>
      <w:outlineLvl w:val="0"/>
    </w:pPr>
    <w:rPr>
      <w:rFonts w:hint="eastAsia" w:cs="Times New Roman"/>
      <w:b/>
      <w:kern w:val="44"/>
      <w:sz w:val="48"/>
      <w:szCs w:val="48"/>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1"/>
    <w:next w:val="1"/>
    <w:qFormat/>
    <w:uiPriority w:val="9"/>
    <w:pPr>
      <w:keepNext/>
      <w:keepLines/>
      <w:numPr>
        <w:ilvl w:val="4"/>
        <w:numId w:val="2"/>
      </w:numPr>
      <w:tabs>
        <w:tab w:val="left" w:pos="1008"/>
      </w:tabs>
      <w:outlineLvl w:val="4"/>
    </w:pPr>
    <w:rPr>
      <w:b/>
      <w:bCs/>
      <w:szCs w:val="28"/>
    </w:rPr>
  </w:style>
  <w:style w:type="paragraph" w:styleId="6">
    <w:name w:val="heading 6"/>
    <w:basedOn w:val="1"/>
    <w:next w:val="1"/>
    <w:unhideWhenUsed/>
    <w:qFormat/>
    <w:uiPriority w:val="0"/>
    <w:pPr>
      <w:keepNext/>
      <w:keepLines/>
      <w:numPr>
        <w:ilvl w:val="5"/>
        <w:numId w:val="2"/>
      </w:numPr>
      <w:outlineLvl w:val="5"/>
    </w:pPr>
    <w:rPr>
      <w:rFonts w:ascii="Arial" w:hAnsi="Arial"/>
      <w:b/>
      <w:bCs/>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qFormat/>
    <w:uiPriority w:val="35"/>
    <w:rPr>
      <w:rFonts w:ascii="Arial" w:hAnsi="Arial" w:eastAsia="黑体" w:cs="Arial"/>
      <w:sz w:val="20"/>
      <w:szCs w:val="20"/>
    </w:rPr>
  </w:style>
  <w:style w:type="paragraph" w:styleId="8">
    <w:name w:val="Plain Text"/>
    <w:basedOn w:val="1"/>
    <w:qFormat/>
    <w:uiPriority w:val="0"/>
    <w:rPr>
      <w:rFonts w:hAnsi="Courier New"/>
      <w:szCs w:val="20"/>
    </w:rPr>
  </w:style>
  <w:style w:type="paragraph" w:styleId="9">
    <w:name w:val="Balloon Text"/>
    <w:basedOn w:val="1"/>
    <w:link w:val="23"/>
    <w:qFormat/>
    <w:uiPriority w:val="0"/>
    <w:pPr>
      <w:spacing w:line="240" w:lineRule="auto"/>
    </w:pPr>
    <w:rPr>
      <w:sz w:val="18"/>
      <w:szCs w:val="18"/>
    </w:rPr>
  </w:style>
  <w:style w:type="paragraph" w:styleId="10">
    <w:name w:val="footer"/>
    <w:basedOn w:val="1"/>
    <w:link w:val="21"/>
    <w:qFormat/>
    <w:uiPriority w:val="99"/>
    <w:pPr>
      <w:tabs>
        <w:tab w:val="center" w:pos="4153"/>
        <w:tab w:val="right" w:pos="8306"/>
      </w:tabs>
      <w:snapToGrid w:val="0"/>
      <w:spacing w:line="240" w:lineRule="auto"/>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14">
    <w:name w:val="文内正文"/>
    <w:basedOn w:val="15"/>
    <w:qFormat/>
    <w:uiPriority w:val="0"/>
    <w:pPr>
      <w:ind w:firstLine="200"/>
    </w:pPr>
  </w:style>
  <w:style w:type="paragraph" w:customStyle="1" w:styleId="15">
    <w:name w:val="列表段落1"/>
    <w:basedOn w:val="1"/>
    <w:qFormat/>
    <w:uiPriority w:val="34"/>
    <w:pPr>
      <w:ind w:firstLine="420" w:firstLineChars="200"/>
    </w:pPr>
  </w:style>
  <w:style w:type="paragraph" w:customStyle="1" w:styleId="16">
    <w:name w:val="文内标题三"/>
    <w:basedOn w:val="3"/>
    <w:qFormat/>
    <w:uiPriority w:val="0"/>
    <w:pPr>
      <w:keepNext w:val="0"/>
      <w:keepLines w:val="0"/>
      <w:numPr>
        <w:ilvl w:val="2"/>
        <w:numId w:val="2"/>
      </w:numPr>
      <w:tabs>
        <w:tab w:val="left" w:pos="720"/>
      </w:tabs>
      <w:spacing w:before="0" w:after="0" w:line="360" w:lineRule="auto"/>
    </w:pPr>
    <w:rPr>
      <w:rFonts w:cstheme="minorBidi"/>
      <w:sz w:val="24"/>
      <w:szCs w:val="24"/>
    </w:rPr>
  </w:style>
  <w:style w:type="paragraph" w:customStyle="1" w:styleId="17">
    <w:name w:val="文内标题四"/>
    <w:basedOn w:val="18"/>
    <w:qFormat/>
    <w:uiPriority w:val="0"/>
    <w:pPr>
      <w:keepNext w:val="0"/>
      <w:keepLines w:val="0"/>
      <w:numPr>
        <w:ilvl w:val="3"/>
        <w:numId w:val="2"/>
      </w:numPr>
      <w:tabs>
        <w:tab w:val="left" w:pos="727"/>
        <w:tab w:val="left" w:pos="864"/>
      </w:tabs>
      <w:spacing w:before="0" w:after="0"/>
    </w:pPr>
    <w:rPr>
      <w:sz w:val="21"/>
      <w:szCs w:val="21"/>
    </w:rPr>
  </w:style>
  <w:style w:type="paragraph" w:customStyle="1" w:styleId="18">
    <w:name w:val="Section4"/>
    <w:basedOn w:val="4"/>
    <w:qFormat/>
    <w:uiPriority w:val="0"/>
    <w:pPr>
      <w:numPr>
        <w:ilvl w:val="0"/>
        <w:numId w:val="0"/>
      </w:numPr>
      <w:tabs>
        <w:tab w:val="clear" w:pos="432"/>
      </w:tabs>
    </w:pPr>
    <w:rPr>
      <w:rFonts w:ascii="Times New Roman" w:hAnsi="Times New Roman"/>
      <w:bCs w:val="0"/>
      <w:sz w:val="30"/>
    </w:rPr>
  </w:style>
  <w:style w:type="paragraph" w:customStyle="1" w:styleId="19">
    <w:name w:val="图片下标"/>
    <w:basedOn w:val="7"/>
    <w:qFormat/>
    <w:uiPriority w:val="0"/>
    <w:pPr>
      <w:numPr>
        <w:ilvl w:val="0"/>
        <w:numId w:val="3"/>
      </w:numPr>
      <w:jc w:val="center"/>
    </w:pPr>
    <w:rPr>
      <w:rFonts w:ascii="宋体" w:hAnsi="宋体" w:eastAsia="宋体"/>
      <w:sz w:val="18"/>
      <w:szCs w:val="18"/>
    </w:rPr>
  </w:style>
  <w:style w:type="character" w:customStyle="1" w:styleId="20">
    <w:name w:val="页眉 Char"/>
    <w:basedOn w:val="13"/>
    <w:link w:val="11"/>
    <w:qFormat/>
    <w:uiPriority w:val="0"/>
    <w:rPr>
      <w:rFonts w:ascii="宋体" w:hAnsi="宋体" w:cs="宋体"/>
      <w:sz w:val="18"/>
      <w:szCs w:val="18"/>
    </w:rPr>
  </w:style>
  <w:style w:type="character" w:customStyle="1" w:styleId="21">
    <w:name w:val="页脚 Char"/>
    <w:basedOn w:val="13"/>
    <w:link w:val="10"/>
    <w:qFormat/>
    <w:uiPriority w:val="99"/>
    <w:rPr>
      <w:rFonts w:ascii="宋体" w:hAnsi="宋体" w:cs="宋体"/>
      <w:sz w:val="18"/>
      <w:szCs w:val="18"/>
    </w:rPr>
  </w:style>
  <w:style w:type="paragraph" w:styleId="22">
    <w:name w:val="List Paragraph"/>
    <w:basedOn w:val="1"/>
    <w:qFormat/>
    <w:uiPriority w:val="99"/>
    <w:pPr>
      <w:ind w:firstLine="420" w:firstLineChars="200"/>
    </w:pPr>
  </w:style>
  <w:style w:type="character" w:customStyle="1" w:styleId="23">
    <w:name w:val="批注框文本 Char"/>
    <w:basedOn w:val="13"/>
    <w:link w:val="9"/>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28</Pages>
  <Words>5942</Words>
  <Characters>6341</Characters>
  <Lines>47</Lines>
  <Paragraphs>13</Paragraphs>
  <TotalTime>35</TotalTime>
  <ScaleCrop>false</ScaleCrop>
  <LinksUpToDate>false</LinksUpToDate>
  <CharactersWithSpaces>6346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2021-09-09T03:33:00Z</dcterms:created>
  <dc:creator>张小川</dc:creator>
  <cp:lastModifiedBy>小玩子</cp:lastModifiedBy>
  <cp:lastPrinted>2021-09-09T06:34:00Z</cp:lastPrinted>
  <dcterms:modified xsi:type="dcterms:W3CDTF">2025-08-11T12:32:46Z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2B60419BEA7A48A99FF72338D6C6712C</vt:lpwstr>
  </property>
  <property fmtid="{D5CDD505-2E9C-101B-9397-08002B2CF9AE}" pid="4" name="KSOTemplateDocerSaveRecord">
    <vt:lpwstr>eyJoZGlkIjoiZTc2MTU5MGJhOWRjM2FjYjA3Nzc3ZDY1YmRkNDIwYzEiLCJ1c2VySWQiOiI0NTQ5NTkzOTMifQ==</vt:lpwstr>
  </property>
</Properties>
</file>