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color w:val="auto"/>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r>
        <w:rPr>
          <w:rFonts w:hint="eastAsia"/>
          <w:sz w:val="58"/>
          <w:szCs w:val="52"/>
        </w:rPr>
        <w:t>青海省药品和耗材一体化管理系统 -</w:t>
      </w:r>
      <w:r>
        <w:rPr>
          <w:sz w:val="58"/>
          <w:szCs w:val="52"/>
        </w:rPr>
        <w:t xml:space="preserve"> </w:t>
      </w:r>
      <w:r>
        <w:rPr>
          <w:rFonts w:hint="eastAsia"/>
          <w:sz w:val="58"/>
          <w:szCs w:val="52"/>
        </w:rPr>
        <w:t>脊柱交易操作指引</w:t>
      </w:r>
    </w:p>
    <w:p>
      <w:pPr>
        <w:spacing w:line="360" w:lineRule="auto"/>
        <w:jc w:val="center"/>
        <w:rPr>
          <w:sz w:val="58"/>
          <w:szCs w:val="52"/>
        </w:rPr>
      </w:pPr>
      <w:r>
        <w:rPr>
          <w:rFonts w:hint="eastAsia"/>
          <w:sz w:val="58"/>
          <w:szCs w:val="52"/>
        </w:rPr>
        <w:t>（生产企业）</w:t>
      </w: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32"/>
          <w:szCs w:val="32"/>
        </w:rPr>
      </w:pPr>
      <w:r>
        <w:rPr>
          <w:rFonts w:hint="eastAsia"/>
          <w:sz w:val="32"/>
          <w:szCs w:val="32"/>
        </w:rPr>
        <w:t>202</w:t>
      </w:r>
      <w:r>
        <w:rPr>
          <w:sz w:val="32"/>
          <w:szCs w:val="32"/>
        </w:rPr>
        <w:t>3</w:t>
      </w:r>
      <w:r>
        <w:rPr>
          <w:rFonts w:hint="eastAsia"/>
          <w:sz w:val="32"/>
          <w:szCs w:val="32"/>
        </w:rPr>
        <w:t>年</w:t>
      </w:r>
      <w:r>
        <w:rPr>
          <w:rFonts w:hint="eastAsia"/>
          <w:sz w:val="32"/>
          <w:szCs w:val="32"/>
          <w:lang w:val="en-US" w:eastAsia="zh-CN"/>
        </w:rPr>
        <w:t>9</w:t>
      </w:r>
      <w:r>
        <w:rPr>
          <w:rFonts w:hint="eastAsia"/>
          <w:sz w:val="32"/>
          <w:szCs w:val="32"/>
        </w:rPr>
        <w:t>月</w:t>
      </w:r>
    </w:p>
    <w:p>
      <w:pPr>
        <w:spacing w:line="360" w:lineRule="auto"/>
        <w:jc w:val="center"/>
        <w:rPr>
          <w:sz w:val="32"/>
          <w:szCs w:val="32"/>
        </w:rPr>
      </w:pPr>
    </w:p>
    <w:sdt>
      <w:sdtPr>
        <w:rPr>
          <w:rFonts w:ascii="宋体" w:hAnsi="宋体" w:eastAsia="宋体" w:cs="宋体"/>
          <w:color w:val="000000"/>
          <w:kern w:val="2"/>
          <w:sz w:val="24"/>
          <w:szCs w:val="22"/>
          <w:lang w:val="zh-CN"/>
        </w:rPr>
        <w:id w:val="-1203935648"/>
        <w:docPartObj>
          <w:docPartGallery w:val="Table of Contents"/>
          <w:docPartUnique/>
        </w:docPartObj>
      </w:sdtPr>
      <w:sdtEndPr>
        <w:rPr>
          <w:rFonts w:ascii="宋体" w:hAnsi="宋体" w:eastAsia="宋体" w:cs="宋体"/>
          <w:b/>
          <w:bCs/>
          <w:color w:val="000000"/>
          <w:kern w:val="2"/>
          <w:sz w:val="24"/>
          <w:szCs w:val="22"/>
          <w:lang w:val="zh-CN"/>
        </w:rPr>
      </w:sdtEndPr>
      <w:sdtContent>
        <w:p>
          <w:pPr>
            <w:pStyle w:val="33"/>
          </w:pPr>
          <w:r>
            <w:rPr>
              <w:lang w:val="zh-CN"/>
            </w:rPr>
            <w:t>目录</w:t>
          </w:r>
        </w:p>
        <w:p>
          <w:pPr>
            <w:pStyle w:val="15"/>
            <w:tabs>
              <w:tab w:val="left" w:pos="420"/>
              <w:tab w:val="right" w:leader="dot" w:pos="8296"/>
            </w:tabs>
          </w:pPr>
          <w:r>
            <w:fldChar w:fldCharType="begin"/>
          </w:r>
          <w:r>
            <w:instrText xml:space="preserve"> TOC \o "1-3" \h \z \u </w:instrText>
          </w:r>
          <w:r>
            <w:fldChar w:fldCharType="separate"/>
          </w:r>
          <w:r>
            <w:fldChar w:fldCharType="begin"/>
          </w:r>
          <w:r>
            <w:instrText xml:space="preserve"> HYPERLINK \l "_Toc141462570" </w:instrText>
          </w:r>
          <w:r>
            <w:fldChar w:fldCharType="separate"/>
          </w:r>
          <w:r>
            <w:rPr>
              <w:rStyle w:val="19"/>
              <w:rFonts w:ascii="黑体" w:hAnsi="黑体" w:eastAsia="黑体"/>
            </w:rPr>
            <w:t>1</w:t>
          </w:r>
          <w:r>
            <w:tab/>
          </w:r>
          <w:r>
            <w:rPr>
              <w:rStyle w:val="19"/>
              <w:rFonts w:ascii="方正黑体_GBK"/>
            </w:rPr>
            <w:t>关于这本手册</w:t>
          </w:r>
          <w:r>
            <w:tab/>
          </w:r>
          <w:r>
            <w:fldChar w:fldCharType="begin"/>
          </w:r>
          <w:r>
            <w:instrText xml:space="preserve"> PAGEREF _Toc141462570 \h </w:instrText>
          </w:r>
          <w:r>
            <w:fldChar w:fldCharType="separate"/>
          </w:r>
          <w:r>
            <w:t>2</w:t>
          </w:r>
          <w:r>
            <w:fldChar w:fldCharType="end"/>
          </w:r>
          <w:r>
            <w:fldChar w:fldCharType="end"/>
          </w:r>
        </w:p>
        <w:p>
          <w:pPr>
            <w:pStyle w:val="15"/>
            <w:tabs>
              <w:tab w:val="left" w:pos="420"/>
              <w:tab w:val="right" w:leader="dot" w:pos="8296"/>
            </w:tabs>
          </w:pPr>
          <w:r>
            <w:fldChar w:fldCharType="begin"/>
          </w:r>
          <w:r>
            <w:instrText xml:space="preserve"> HYPERLINK \l "_Toc141462571" </w:instrText>
          </w:r>
          <w:r>
            <w:fldChar w:fldCharType="separate"/>
          </w:r>
          <w:r>
            <w:rPr>
              <w:rStyle w:val="19"/>
              <w:rFonts w:ascii="黑体" w:hAnsi="黑体" w:eastAsia="黑体"/>
            </w:rPr>
            <w:t>2</w:t>
          </w:r>
          <w:r>
            <w:tab/>
          </w:r>
          <w:r>
            <w:rPr>
              <w:rStyle w:val="19"/>
            </w:rPr>
            <w:t>功能说明</w:t>
          </w:r>
          <w:r>
            <w:tab/>
          </w:r>
          <w:r>
            <w:fldChar w:fldCharType="begin"/>
          </w:r>
          <w:r>
            <w:instrText xml:space="preserve"> PAGEREF _Toc141462571 \h </w:instrText>
          </w:r>
          <w:r>
            <w:fldChar w:fldCharType="separate"/>
          </w:r>
          <w:r>
            <w:t>2</w:t>
          </w:r>
          <w:r>
            <w:fldChar w:fldCharType="end"/>
          </w:r>
          <w:r>
            <w:fldChar w:fldCharType="end"/>
          </w:r>
        </w:p>
        <w:p>
          <w:pPr>
            <w:pStyle w:val="16"/>
            <w:tabs>
              <w:tab w:val="left" w:pos="1050"/>
              <w:tab w:val="right" w:leader="dot" w:pos="8296"/>
            </w:tabs>
            <w:ind w:left="490"/>
          </w:pPr>
          <w:r>
            <w:fldChar w:fldCharType="begin"/>
          </w:r>
          <w:r>
            <w:instrText xml:space="preserve"> HYPERLINK \l "_Toc141462572" </w:instrText>
          </w:r>
          <w:r>
            <w:fldChar w:fldCharType="separate"/>
          </w:r>
          <w:r>
            <w:rPr>
              <w:rStyle w:val="19"/>
            </w:rPr>
            <w:t>2.1</w:t>
          </w:r>
          <w:r>
            <w:tab/>
          </w:r>
          <w:r>
            <w:rPr>
              <w:rStyle w:val="19"/>
            </w:rPr>
            <w:t>登陆</w:t>
          </w:r>
          <w:r>
            <w:tab/>
          </w:r>
          <w:r>
            <w:fldChar w:fldCharType="begin"/>
          </w:r>
          <w:r>
            <w:instrText xml:space="preserve"> PAGEREF _Toc141462572 \h </w:instrText>
          </w:r>
          <w:r>
            <w:fldChar w:fldCharType="separate"/>
          </w:r>
          <w:r>
            <w:t>2</w:t>
          </w:r>
          <w:r>
            <w:fldChar w:fldCharType="end"/>
          </w:r>
          <w:r>
            <w:fldChar w:fldCharType="end"/>
          </w:r>
        </w:p>
        <w:p>
          <w:pPr>
            <w:pStyle w:val="16"/>
            <w:tabs>
              <w:tab w:val="left" w:pos="1050"/>
              <w:tab w:val="right" w:leader="dot" w:pos="8296"/>
            </w:tabs>
            <w:ind w:left="490"/>
          </w:pPr>
          <w:r>
            <w:fldChar w:fldCharType="begin"/>
          </w:r>
          <w:r>
            <w:instrText xml:space="preserve"> HYPERLINK \l "_Toc141462573" </w:instrText>
          </w:r>
          <w:r>
            <w:fldChar w:fldCharType="separate"/>
          </w:r>
          <w:r>
            <w:rPr>
              <w:rStyle w:val="19"/>
            </w:rPr>
            <w:t>2.2</w:t>
          </w:r>
          <w:r>
            <w:tab/>
          </w:r>
          <w:r>
            <w:rPr>
              <w:rStyle w:val="19"/>
            </w:rPr>
            <w:t>配送管理</w:t>
          </w:r>
          <w:r>
            <w:tab/>
          </w:r>
          <w:r>
            <w:fldChar w:fldCharType="begin"/>
          </w:r>
          <w:r>
            <w:instrText xml:space="preserve"> PAGEREF _Toc141462573 \h </w:instrText>
          </w:r>
          <w:r>
            <w:fldChar w:fldCharType="separate"/>
          </w:r>
          <w:r>
            <w:t>3</w:t>
          </w:r>
          <w:r>
            <w:fldChar w:fldCharType="end"/>
          </w:r>
          <w:r>
            <w:fldChar w:fldCharType="end"/>
          </w:r>
        </w:p>
        <w:p>
          <w:pPr>
            <w:pStyle w:val="11"/>
            <w:tabs>
              <w:tab w:val="left" w:pos="1680"/>
              <w:tab w:val="right" w:leader="dot" w:pos="8296"/>
            </w:tabs>
            <w:ind w:left="970"/>
          </w:pPr>
          <w:r>
            <w:fldChar w:fldCharType="begin"/>
          </w:r>
          <w:r>
            <w:instrText xml:space="preserve"> HYPERLINK \l "_Toc141462574" </w:instrText>
          </w:r>
          <w:r>
            <w:fldChar w:fldCharType="separate"/>
          </w:r>
          <w:r>
            <w:rPr>
              <w:rStyle w:val="19"/>
            </w:rPr>
            <w:t>2.2.1</w:t>
          </w:r>
          <w:r>
            <w:tab/>
          </w:r>
          <w:r>
            <w:rPr>
              <w:rStyle w:val="19"/>
            </w:rPr>
            <w:t>配送关系设置</w:t>
          </w:r>
          <w:r>
            <w:tab/>
          </w:r>
          <w:r>
            <w:fldChar w:fldCharType="begin"/>
          </w:r>
          <w:r>
            <w:instrText xml:space="preserve"> PAGEREF _Toc141462574 \h </w:instrText>
          </w:r>
          <w:r>
            <w:fldChar w:fldCharType="separate"/>
          </w:r>
          <w:r>
            <w:t>3</w:t>
          </w:r>
          <w:r>
            <w:fldChar w:fldCharType="end"/>
          </w:r>
          <w:r>
            <w:fldChar w:fldCharType="end"/>
          </w:r>
        </w:p>
        <w:p>
          <w:pPr>
            <w:pStyle w:val="11"/>
            <w:tabs>
              <w:tab w:val="left" w:pos="1680"/>
              <w:tab w:val="right" w:leader="dot" w:pos="8296"/>
            </w:tabs>
            <w:ind w:left="970"/>
          </w:pPr>
          <w:r>
            <w:fldChar w:fldCharType="begin"/>
          </w:r>
          <w:r>
            <w:instrText xml:space="preserve"> HYPERLINK \l "_Toc141462575" </w:instrText>
          </w:r>
          <w:r>
            <w:fldChar w:fldCharType="separate"/>
          </w:r>
          <w:r>
            <w:rPr>
              <w:rStyle w:val="19"/>
            </w:rPr>
            <w:t>2.2.2</w:t>
          </w:r>
          <w:r>
            <w:tab/>
          </w:r>
          <w:r>
            <w:rPr>
              <w:rStyle w:val="19"/>
            </w:rPr>
            <w:t>委托配送关系管理</w:t>
          </w:r>
          <w:r>
            <w:tab/>
          </w:r>
          <w:r>
            <w:fldChar w:fldCharType="begin"/>
          </w:r>
          <w:r>
            <w:instrText xml:space="preserve"> PAGEREF _Toc141462575 \h </w:instrText>
          </w:r>
          <w:r>
            <w:fldChar w:fldCharType="separate"/>
          </w:r>
          <w:r>
            <w:t>6</w:t>
          </w:r>
          <w:r>
            <w:fldChar w:fldCharType="end"/>
          </w:r>
          <w:r>
            <w:fldChar w:fldCharType="end"/>
          </w:r>
        </w:p>
        <w:p>
          <w:pPr>
            <w:pStyle w:val="16"/>
            <w:tabs>
              <w:tab w:val="left" w:pos="1050"/>
              <w:tab w:val="right" w:leader="dot" w:pos="8296"/>
            </w:tabs>
            <w:ind w:left="490"/>
          </w:pPr>
          <w:r>
            <w:fldChar w:fldCharType="begin"/>
          </w:r>
          <w:r>
            <w:instrText xml:space="preserve"> HYPERLINK \l "_Toc141462576" </w:instrText>
          </w:r>
          <w:r>
            <w:fldChar w:fldCharType="separate"/>
          </w:r>
          <w:r>
            <w:rPr>
              <w:rStyle w:val="19"/>
            </w:rPr>
            <w:t>2.3</w:t>
          </w:r>
          <w:r>
            <w:tab/>
          </w:r>
          <w:r>
            <w:rPr>
              <w:rStyle w:val="19"/>
            </w:rPr>
            <w:t>议价管理</w:t>
          </w:r>
          <w:r>
            <w:tab/>
          </w:r>
          <w:r>
            <w:fldChar w:fldCharType="begin"/>
          </w:r>
          <w:r>
            <w:instrText xml:space="preserve"> PAGEREF _Toc141462576 \h </w:instrText>
          </w:r>
          <w:r>
            <w:fldChar w:fldCharType="separate"/>
          </w:r>
          <w:r>
            <w:t>8</w:t>
          </w:r>
          <w:r>
            <w:fldChar w:fldCharType="end"/>
          </w:r>
          <w:r>
            <w:fldChar w:fldCharType="end"/>
          </w:r>
        </w:p>
        <w:p>
          <w:pPr>
            <w:pStyle w:val="16"/>
            <w:tabs>
              <w:tab w:val="left" w:pos="1050"/>
              <w:tab w:val="right" w:leader="dot" w:pos="8296"/>
            </w:tabs>
            <w:ind w:left="490"/>
          </w:pPr>
          <w:r>
            <w:fldChar w:fldCharType="begin"/>
          </w:r>
          <w:r>
            <w:instrText xml:space="preserve"> HYPERLINK \l "_Toc141462577" </w:instrText>
          </w:r>
          <w:r>
            <w:fldChar w:fldCharType="separate"/>
          </w:r>
          <w:r>
            <w:rPr>
              <w:rStyle w:val="19"/>
            </w:rPr>
            <w:t>2.4</w:t>
          </w:r>
          <w:r>
            <w:tab/>
          </w:r>
          <w:r>
            <w:rPr>
              <w:rStyle w:val="19"/>
            </w:rPr>
            <w:t>合同管理</w:t>
          </w:r>
          <w:r>
            <w:tab/>
          </w:r>
          <w:r>
            <w:fldChar w:fldCharType="begin"/>
          </w:r>
          <w:r>
            <w:instrText xml:space="preserve"> PAGEREF _Toc141462577 \h </w:instrText>
          </w:r>
          <w:r>
            <w:fldChar w:fldCharType="separate"/>
          </w:r>
          <w:r>
            <w:t>9</w:t>
          </w:r>
          <w:r>
            <w:fldChar w:fldCharType="end"/>
          </w:r>
          <w:r>
            <w:fldChar w:fldCharType="end"/>
          </w:r>
        </w:p>
        <w:p>
          <w:r>
            <w:rPr>
              <w:b/>
              <w:bCs/>
              <w:lang w:val="zh-CN"/>
            </w:rPr>
            <w:fldChar w:fldCharType="end"/>
          </w:r>
        </w:p>
      </w:sdtContent>
    </w:sdt>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after="0" w:line="360" w:lineRule="auto"/>
        <w:ind w:left="0" w:firstLine="0"/>
        <w:rPr>
          <w:b/>
          <w:bCs/>
          <w:sz w:val="52"/>
          <w:szCs w:val="52"/>
        </w:rPr>
      </w:pPr>
    </w:p>
    <w:p>
      <w:pPr>
        <w:pStyle w:val="2"/>
        <w:spacing w:after="0" w:line="360" w:lineRule="auto"/>
        <w:rPr>
          <w:rFonts w:ascii="方正黑体_GBK"/>
          <w:szCs w:val="32"/>
        </w:rPr>
      </w:pPr>
      <w:bookmarkStart w:id="0" w:name="_Toc141462570"/>
      <w:r>
        <w:rPr>
          <w:rFonts w:hint="eastAsia" w:ascii="方正黑体_GBK"/>
          <w:szCs w:val="32"/>
        </w:rPr>
        <w:t>关于这本手册</w:t>
      </w:r>
      <w:bookmarkEnd w:id="0"/>
    </w:p>
    <w:p>
      <w:pPr>
        <w:spacing w:line="360" w:lineRule="auto"/>
      </w:pPr>
      <w:r>
        <w:rPr>
          <w:rFonts w:hint="eastAsia"/>
        </w:rPr>
        <w:t>该产品用户手册包含了您在使用招采平台——脊柱交易模块时所需了解的信息。手册中所出现的用户名称及相关数据均为系统测试数据，不作为任何正式采购的依据，在本系统正式使用前将予以清除。</w:t>
      </w:r>
    </w:p>
    <w:p>
      <w:pPr>
        <w:pStyle w:val="2"/>
        <w:spacing w:line="360" w:lineRule="auto"/>
      </w:pPr>
      <w:bookmarkStart w:id="1" w:name="_Toc141462571"/>
      <w:r>
        <w:rPr>
          <w:rFonts w:hint="eastAsia"/>
        </w:rPr>
        <w:t>功能说明</w:t>
      </w:r>
      <w:bookmarkEnd w:id="1"/>
    </w:p>
    <w:p>
      <w:pPr>
        <w:pStyle w:val="3"/>
        <w:spacing w:line="360" w:lineRule="auto"/>
      </w:pPr>
      <w:bookmarkStart w:id="2" w:name="_Toc141462572"/>
      <w:r>
        <w:rPr>
          <w:rFonts w:hint="eastAsia"/>
        </w:rPr>
        <w:t>登陆</w:t>
      </w:r>
      <w:bookmarkEnd w:id="2"/>
    </w:p>
    <w:p>
      <w:pPr>
        <w:spacing w:line="360" w:lineRule="auto"/>
      </w:pPr>
      <w:r>
        <w:rPr>
          <w:rFonts w:hint="eastAsia"/>
        </w:rPr>
        <w:t>点击青海省招采网地址(</w:t>
      </w:r>
      <w:r>
        <w:t>https://ybj.qinghai.gov.cn/qhggfw/local/hallEnter/#/Index</w:t>
      </w:r>
      <w:r>
        <w:rPr>
          <w:rFonts w:hint="eastAsia"/>
        </w:rPr>
        <w:t>)，输入用户账号、密码，登陆进入招采平台，点击【脊柱交易结算】进入脊柱交易模块：</w:t>
      </w:r>
    </w:p>
    <w:p>
      <w:pPr>
        <w:spacing w:line="360" w:lineRule="auto"/>
      </w:pPr>
      <w:r>
        <w:drawing>
          <wp:inline distT="0" distB="0" distL="0" distR="0">
            <wp:extent cx="5274310" cy="1112520"/>
            <wp:effectExtent l="0" t="0" r="2540" b="0"/>
            <wp:docPr id="768204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04100" name="图片 1"/>
                    <pic:cNvPicPr>
                      <a:picLocks noChangeAspect="1"/>
                    </pic:cNvPicPr>
                  </pic:nvPicPr>
                  <pic:blipFill>
                    <a:blip r:embed="rId6"/>
                    <a:stretch>
                      <a:fillRect/>
                    </a:stretch>
                  </pic:blipFill>
                  <pic:spPr>
                    <a:xfrm>
                      <a:off x="0" y="0"/>
                      <a:ext cx="5274310" cy="1112520"/>
                    </a:xfrm>
                    <a:prstGeom prst="rect">
                      <a:avLst/>
                    </a:prstGeom>
                  </pic:spPr>
                </pic:pic>
              </a:graphicData>
            </a:graphic>
          </wp:inline>
        </w:drawing>
      </w:r>
    </w:p>
    <w:p>
      <w:pPr>
        <w:pStyle w:val="3"/>
        <w:spacing w:line="360" w:lineRule="auto"/>
      </w:pPr>
      <w:bookmarkStart w:id="3" w:name="_Toc141462573"/>
      <w:r>
        <w:rPr>
          <w:rFonts w:hint="eastAsia"/>
        </w:rPr>
        <w:t>配送管理</w:t>
      </w:r>
      <w:bookmarkEnd w:id="3"/>
    </w:p>
    <w:p>
      <w:pPr>
        <w:spacing w:line="360" w:lineRule="auto"/>
      </w:pPr>
      <w:r>
        <w:rPr>
          <w:rFonts w:hint="eastAsia"/>
        </w:rPr>
        <w:t>进入耗材交易模块中点击左侧菜单【配送管理】-</w:t>
      </w:r>
      <w:r>
        <w:t>&gt;</w:t>
      </w:r>
      <w:r>
        <w:rPr>
          <w:rFonts w:hint="eastAsia"/>
        </w:rPr>
        <w:t>【配送关系设置】设置产品配送关系，如下图所示：</w:t>
      </w:r>
      <w:r>
        <w:drawing>
          <wp:inline distT="0" distB="0" distL="0" distR="0">
            <wp:extent cx="5274310" cy="2535555"/>
            <wp:effectExtent l="0" t="0" r="2540" b="0"/>
            <wp:docPr id="1929286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86949" name="图片 1"/>
                    <pic:cNvPicPr>
                      <a:picLocks noChangeAspect="1"/>
                    </pic:cNvPicPr>
                  </pic:nvPicPr>
                  <pic:blipFill>
                    <a:blip r:embed="rId7"/>
                    <a:stretch>
                      <a:fillRect/>
                    </a:stretch>
                  </pic:blipFill>
                  <pic:spPr>
                    <a:xfrm>
                      <a:off x="0" y="0"/>
                      <a:ext cx="5274310" cy="2535555"/>
                    </a:xfrm>
                    <a:prstGeom prst="rect">
                      <a:avLst/>
                    </a:prstGeom>
                  </pic:spPr>
                </pic:pic>
              </a:graphicData>
            </a:graphic>
          </wp:inline>
        </w:drawing>
      </w:r>
    </w:p>
    <w:p>
      <w:pPr>
        <w:pStyle w:val="4"/>
        <w:spacing w:line="360" w:lineRule="auto"/>
      </w:pPr>
      <w:bookmarkStart w:id="4" w:name="_Toc141462574"/>
      <w:r>
        <w:rPr>
          <w:rFonts w:hint="eastAsia"/>
        </w:rPr>
        <w:t>配送关系设置</w:t>
      </w:r>
      <w:bookmarkEnd w:id="4"/>
    </w:p>
    <w:p>
      <w:pPr>
        <w:pStyle w:val="5"/>
        <w:spacing w:line="360" w:lineRule="auto"/>
      </w:pPr>
      <w:r>
        <w:rPr>
          <w:rFonts w:hint="eastAsia"/>
        </w:rPr>
        <w:t>骨科脊柱系统</w:t>
      </w:r>
    </w:p>
    <w:p>
      <w:pPr>
        <w:spacing w:line="360" w:lineRule="auto"/>
      </w:pPr>
      <w:r>
        <w:drawing>
          <wp:inline distT="0" distB="0" distL="0" distR="0">
            <wp:extent cx="5274310" cy="2524760"/>
            <wp:effectExtent l="0" t="0" r="2540" b="8890"/>
            <wp:docPr id="1428521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21350" name="图片 1"/>
                    <pic:cNvPicPr>
                      <a:picLocks noChangeAspect="1"/>
                    </pic:cNvPicPr>
                  </pic:nvPicPr>
                  <pic:blipFill>
                    <a:blip r:embed="rId8"/>
                    <a:stretch>
                      <a:fillRect/>
                    </a:stretch>
                  </pic:blipFill>
                  <pic:spPr>
                    <a:xfrm>
                      <a:off x="0" y="0"/>
                      <a:ext cx="5274310" cy="2524760"/>
                    </a:xfrm>
                    <a:prstGeom prst="rect">
                      <a:avLst/>
                    </a:prstGeom>
                  </pic:spPr>
                </pic:pic>
              </a:graphicData>
            </a:graphic>
          </wp:inline>
        </w:drawing>
      </w:r>
    </w:p>
    <w:p>
      <w:pPr>
        <w:spacing w:line="360" w:lineRule="auto"/>
      </w:pPr>
      <w:r>
        <w:rPr>
          <w:rFonts w:hint="eastAsia"/>
        </w:rPr>
        <w:t>功能说明：</w:t>
      </w:r>
    </w:p>
    <w:p>
      <w:pPr>
        <w:pStyle w:val="21"/>
        <w:numPr>
          <w:ilvl w:val="0"/>
          <w:numId w:val="2"/>
        </w:numPr>
        <w:spacing w:line="360" w:lineRule="auto"/>
        <w:ind w:firstLineChars="0"/>
      </w:pPr>
      <w:r>
        <w:rPr>
          <w:rFonts w:hint="eastAsia"/>
          <w:b/>
          <w:bCs/>
        </w:rPr>
        <w:t>设置</w:t>
      </w:r>
      <w:r>
        <w:br w:type="textWrapping"/>
      </w:r>
      <w:r>
        <w:rPr>
          <w:rFonts w:hint="eastAsia"/>
        </w:rPr>
        <w:t>点击对应产品右方操作按钮【设置】，进入设置页面，如下图“委托配送”页面所示：</w:t>
      </w:r>
    </w:p>
    <w:p>
      <w:pPr>
        <w:spacing w:line="360" w:lineRule="auto"/>
        <w:ind w:left="0" w:firstLine="0"/>
      </w:pPr>
      <w:r>
        <w:drawing>
          <wp:inline distT="0" distB="0" distL="0" distR="0">
            <wp:extent cx="5274310" cy="2541270"/>
            <wp:effectExtent l="0" t="0" r="2540" b="0"/>
            <wp:docPr id="408125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25439" name="图片 1"/>
                    <pic:cNvPicPr>
                      <a:picLocks noChangeAspect="1"/>
                    </pic:cNvPicPr>
                  </pic:nvPicPr>
                  <pic:blipFill>
                    <a:blip r:embed="rId9"/>
                    <a:stretch>
                      <a:fillRect/>
                    </a:stretch>
                  </pic:blipFill>
                  <pic:spPr>
                    <a:xfrm>
                      <a:off x="0" y="0"/>
                      <a:ext cx="5274310" cy="2541270"/>
                    </a:xfrm>
                    <a:prstGeom prst="rect">
                      <a:avLst/>
                    </a:prstGeom>
                  </pic:spPr>
                </pic:pic>
              </a:graphicData>
            </a:graphic>
          </wp:inline>
        </w:drawing>
      </w:r>
      <w:r>
        <w:br w:type="textWrapping"/>
      </w:r>
      <w:r>
        <w:rPr>
          <w:rFonts w:hint="eastAsia"/>
        </w:rPr>
        <w:t>1</w:t>
      </w:r>
      <w:r>
        <w:t>.</w:t>
      </w:r>
      <w:r>
        <w:rPr>
          <w:rFonts w:hint="eastAsia"/>
        </w:rPr>
        <w:t>进入设置页面后，可查看到该系统基本信息，上图区域1显示“可设配区域列表”，区域2处显示“可设配配送企业列表”，区域3显示已“已选择配送企业列表”；</w:t>
      </w:r>
      <w:r>
        <w:br w:type="textWrapping"/>
      </w:r>
      <w:r>
        <w:t>2.</w:t>
      </w:r>
      <w:r>
        <w:rPr>
          <w:rFonts w:hint="eastAsia"/>
        </w:rPr>
        <w:t>首先在上图区域1中勾选将要配送的区域名称，在上图区域2中选择需要委托配送的企业，可输入企业名称进行企业查询，勾选对应企业后点击【</w:t>
      </w:r>
      <w:r>
        <w:rPr>
          <w:rFonts w:hint="eastAsia" w:cs="MS Gothic" w:asciiTheme="minorEastAsia" w:hAnsiTheme="minorEastAsia" w:eastAsiaTheme="minorEastAsia"/>
        </w:rPr>
        <w:t>》</w:t>
      </w:r>
      <w:r>
        <w:rPr>
          <w:rFonts w:hint="eastAsia"/>
        </w:rPr>
        <w:t>】按钮即可添加至已选择配送企业列表中；</w:t>
      </w:r>
      <w:r>
        <w:br w:type="textWrapping"/>
      </w:r>
      <w:r>
        <w:t>3.</w:t>
      </w:r>
      <w:r>
        <w:rPr>
          <w:rFonts w:hint="eastAsia"/>
        </w:rPr>
        <w:t>若需要移除“已选择配送企业”栏中的配送企业，勾选对应企业后点击【</w:t>
      </w:r>
      <w:r>
        <w:rPr>
          <w:rFonts w:hint="eastAsia" w:cs="MS Gothic" w:asciiTheme="minorEastAsia" w:hAnsiTheme="minorEastAsia" w:eastAsiaTheme="minorEastAsia"/>
        </w:rPr>
        <w:t>《</w:t>
      </w:r>
      <w:r>
        <w:rPr>
          <w:rFonts w:hint="eastAsia"/>
        </w:rPr>
        <w:t>】按钮，即可将该企业移除，并可再次选择添加；</w:t>
      </w:r>
      <w:r>
        <w:br w:type="textWrapping"/>
      </w:r>
      <w:r>
        <w:t>4.</w:t>
      </w:r>
      <w:r>
        <w:rPr>
          <w:rFonts w:hint="eastAsia"/>
        </w:rPr>
        <w:t>选择好配送企业后，点击【提交】即可将该委托发送至配送企业等待配送企业响应是否同意；</w:t>
      </w:r>
    </w:p>
    <w:p>
      <w:pPr>
        <w:pStyle w:val="5"/>
        <w:spacing w:line="360" w:lineRule="auto"/>
      </w:pPr>
      <w:r>
        <w:rPr>
          <w:rFonts w:hint="eastAsia"/>
        </w:rPr>
        <w:t>骨科脊柱部件</w:t>
      </w:r>
    </w:p>
    <w:p>
      <w:pPr>
        <w:spacing w:line="360" w:lineRule="auto"/>
      </w:pPr>
      <w:r>
        <w:drawing>
          <wp:inline distT="0" distB="0" distL="0" distR="0">
            <wp:extent cx="5274310" cy="2538095"/>
            <wp:effectExtent l="0" t="0" r="2540" b="0"/>
            <wp:docPr id="818063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3642" name="图片 1"/>
                    <pic:cNvPicPr>
                      <a:picLocks noChangeAspect="1"/>
                    </pic:cNvPicPr>
                  </pic:nvPicPr>
                  <pic:blipFill>
                    <a:blip r:embed="rId10"/>
                    <a:stretch>
                      <a:fillRect/>
                    </a:stretch>
                  </pic:blipFill>
                  <pic:spPr>
                    <a:xfrm>
                      <a:off x="0" y="0"/>
                      <a:ext cx="5274310" cy="2538095"/>
                    </a:xfrm>
                    <a:prstGeom prst="rect">
                      <a:avLst/>
                    </a:prstGeom>
                  </pic:spPr>
                </pic:pic>
              </a:graphicData>
            </a:graphic>
          </wp:inline>
        </w:drawing>
      </w:r>
    </w:p>
    <w:p>
      <w:pPr>
        <w:spacing w:line="360" w:lineRule="auto"/>
      </w:pPr>
      <w:r>
        <w:rPr>
          <w:rFonts w:hint="eastAsia"/>
        </w:rPr>
        <w:t>功能说明：</w:t>
      </w:r>
    </w:p>
    <w:p>
      <w:pPr>
        <w:pStyle w:val="21"/>
        <w:numPr>
          <w:ilvl w:val="0"/>
          <w:numId w:val="3"/>
        </w:numPr>
        <w:spacing w:line="360" w:lineRule="auto"/>
        <w:ind w:left="0" w:firstLine="0" w:firstLineChars="0"/>
      </w:pPr>
      <w:r>
        <w:rPr>
          <w:rFonts w:hint="eastAsia"/>
          <w:b/>
          <w:bCs/>
        </w:rPr>
        <w:t>设置</w:t>
      </w:r>
      <w:r>
        <w:br w:type="textWrapping"/>
      </w:r>
      <w:r>
        <w:rPr>
          <w:rFonts w:hint="eastAsia"/>
        </w:rPr>
        <w:t>点击对应产品右方操作按钮【设置】，进入设置页面，如下图“委托配送”页面所示：</w:t>
      </w:r>
      <w:r>
        <w:drawing>
          <wp:inline distT="0" distB="0" distL="0" distR="0">
            <wp:extent cx="5274310" cy="2521585"/>
            <wp:effectExtent l="0" t="0" r="2540" b="0"/>
            <wp:docPr id="171642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2095" name="图片 1"/>
                    <pic:cNvPicPr>
                      <a:picLocks noChangeAspect="1"/>
                    </pic:cNvPicPr>
                  </pic:nvPicPr>
                  <pic:blipFill>
                    <a:blip r:embed="rId11"/>
                    <a:stretch>
                      <a:fillRect/>
                    </a:stretch>
                  </pic:blipFill>
                  <pic:spPr>
                    <a:xfrm>
                      <a:off x="0" y="0"/>
                      <a:ext cx="5274310" cy="2521585"/>
                    </a:xfrm>
                    <a:prstGeom prst="rect">
                      <a:avLst/>
                    </a:prstGeom>
                  </pic:spPr>
                </pic:pic>
              </a:graphicData>
            </a:graphic>
          </wp:inline>
        </w:drawing>
      </w:r>
      <w:r>
        <w:br w:type="textWrapping"/>
      </w:r>
      <w:r>
        <w:rPr>
          <w:rFonts w:hint="eastAsia"/>
        </w:rPr>
        <w:t>1</w:t>
      </w:r>
      <w:r>
        <w:t>.</w:t>
      </w:r>
      <w:r>
        <w:rPr>
          <w:rFonts w:hint="eastAsia"/>
        </w:rPr>
        <w:t>进入设置页面后，可查看到该脊柱部件基本信息，上图区域1显示“可设配区域列表”，区域2处显示“可设配配送企业列表”，区域3显示已“已选择配送企业列表”；</w:t>
      </w:r>
      <w:r>
        <w:br w:type="textWrapping"/>
      </w:r>
      <w:r>
        <w:t>2.</w:t>
      </w:r>
      <w:r>
        <w:rPr>
          <w:rFonts w:hint="eastAsia"/>
        </w:rPr>
        <w:t>首先在上图区域1中勾选将要配送的区域名称，在上图区域2中选择需要委托配送的企业，可输入企业名称进行企业查询，勾选对应企业后点击【</w:t>
      </w:r>
      <w:r>
        <w:rPr>
          <w:rFonts w:hint="eastAsia" w:cs="MS Gothic" w:asciiTheme="minorEastAsia" w:hAnsiTheme="minorEastAsia" w:eastAsiaTheme="minorEastAsia"/>
        </w:rPr>
        <w:t>》</w:t>
      </w:r>
      <w:r>
        <w:rPr>
          <w:rFonts w:hint="eastAsia"/>
        </w:rPr>
        <w:t>】按钮即可添加至已选择配送企业列表中；</w:t>
      </w:r>
      <w:r>
        <w:br w:type="textWrapping"/>
      </w:r>
      <w:r>
        <w:t>3.</w:t>
      </w:r>
      <w:r>
        <w:rPr>
          <w:rFonts w:hint="eastAsia"/>
        </w:rPr>
        <w:t>若需要移除“已选择配送企业”栏中的配送企业，勾选对应企业后点击【</w:t>
      </w:r>
      <w:r>
        <w:rPr>
          <w:rFonts w:hint="eastAsia" w:cs="MS Gothic" w:asciiTheme="minorEastAsia" w:hAnsiTheme="minorEastAsia" w:eastAsiaTheme="minorEastAsia"/>
        </w:rPr>
        <w:t>《</w:t>
      </w:r>
      <w:r>
        <w:rPr>
          <w:rFonts w:hint="eastAsia"/>
        </w:rPr>
        <w:t>】按钮，即可将该企业移除，并可再次选择添加；</w:t>
      </w:r>
      <w:r>
        <w:br w:type="textWrapping"/>
      </w:r>
      <w:r>
        <w:t>4.</w:t>
      </w:r>
      <w:r>
        <w:rPr>
          <w:rFonts w:hint="eastAsia"/>
        </w:rPr>
        <w:t>选择好配送企业后，点击【提交】即可将该委托发送至配送企业等待配送企业响应是否同意；</w:t>
      </w:r>
    </w:p>
    <w:p>
      <w:pPr>
        <w:pStyle w:val="4"/>
        <w:spacing w:line="360" w:lineRule="auto"/>
      </w:pPr>
      <w:bookmarkStart w:id="5" w:name="_Toc141462575"/>
      <w:r>
        <w:rPr>
          <w:rFonts w:hint="eastAsia"/>
        </w:rPr>
        <w:t>委托配送关系管理</w:t>
      </w:r>
      <w:bookmarkEnd w:id="5"/>
    </w:p>
    <w:p>
      <w:pPr>
        <w:spacing w:line="360" w:lineRule="auto"/>
      </w:pPr>
      <w:r>
        <w:rPr>
          <w:rFonts w:hint="eastAsia"/>
        </w:rPr>
        <w:t>设置完产品配送关系后，点击左侧菜单【配送管理】-</w:t>
      </w:r>
      <w:r>
        <w:t>&gt;</w:t>
      </w:r>
      <w:r>
        <w:rPr>
          <w:rFonts w:hint="eastAsia"/>
        </w:rPr>
        <w:t>【委托配送产品管理】进行查看已委托产品情况，页面展示各产品的配送企业委托情况，可对于每个产品委托关系进行维护，状态为“已同意”表示配送关系建立成功，“已拒绝”则表示未建立。</w:t>
      </w:r>
    </w:p>
    <w:p>
      <w:pPr>
        <w:spacing w:line="360" w:lineRule="auto"/>
      </w:pPr>
    </w:p>
    <w:p>
      <w:pPr>
        <w:pStyle w:val="5"/>
        <w:spacing w:line="360" w:lineRule="auto"/>
      </w:pPr>
      <w:r>
        <w:rPr>
          <w:rFonts w:hint="eastAsia"/>
        </w:rPr>
        <w:t>骨科脊柱系统</w:t>
      </w:r>
    </w:p>
    <w:p>
      <w:pPr>
        <w:spacing w:line="360" w:lineRule="auto"/>
      </w:pPr>
      <w:r>
        <w:drawing>
          <wp:inline distT="0" distB="0" distL="0" distR="0">
            <wp:extent cx="5274310" cy="2928620"/>
            <wp:effectExtent l="0" t="0" r="2540" b="5080"/>
            <wp:docPr id="858509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9219" name="图片 1"/>
                    <pic:cNvPicPr>
                      <a:picLocks noChangeAspect="1"/>
                    </pic:cNvPicPr>
                  </pic:nvPicPr>
                  <pic:blipFill>
                    <a:blip r:embed="rId12"/>
                    <a:stretch>
                      <a:fillRect/>
                    </a:stretch>
                  </pic:blipFill>
                  <pic:spPr>
                    <a:xfrm>
                      <a:off x="0" y="0"/>
                      <a:ext cx="5274310" cy="2928620"/>
                    </a:xfrm>
                    <a:prstGeom prst="rect">
                      <a:avLst/>
                    </a:prstGeom>
                  </pic:spPr>
                </pic:pic>
              </a:graphicData>
            </a:graphic>
          </wp:inline>
        </w:drawing>
      </w:r>
    </w:p>
    <w:p>
      <w:pPr>
        <w:spacing w:line="360" w:lineRule="auto"/>
      </w:pPr>
      <w:r>
        <w:rPr>
          <w:rFonts w:hint="eastAsia"/>
        </w:rPr>
        <w:t>功能说明：</w:t>
      </w:r>
    </w:p>
    <w:p>
      <w:pPr>
        <w:pStyle w:val="21"/>
        <w:numPr>
          <w:ilvl w:val="0"/>
          <w:numId w:val="4"/>
        </w:numPr>
        <w:spacing w:line="360" w:lineRule="auto"/>
        <w:ind w:firstLineChars="0"/>
        <w:rPr>
          <w:b/>
          <w:bCs/>
        </w:rPr>
      </w:pPr>
      <w:r>
        <w:rPr>
          <w:rFonts w:hint="eastAsia"/>
          <w:b/>
          <w:bCs/>
        </w:rPr>
        <w:t>撤回</w:t>
      </w:r>
      <w:r>
        <w:rPr>
          <w:b/>
          <w:bCs/>
        </w:rPr>
        <w:br w:type="textWrapping"/>
      </w:r>
      <w:r>
        <w:rPr>
          <w:rFonts w:hint="eastAsia"/>
        </w:rPr>
        <w:t>产品委托配送状态为“待响应”状态时，可点击操作栏【撤回】按钮进行撤回，撤回后，对应配送企业不会看到该条已撤回的委托配送信息；</w:t>
      </w:r>
    </w:p>
    <w:p>
      <w:pPr>
        <w:pStyle w:val="21"/>
        <w:numPr>
          <w:ilvl w:val="0"/>
          <w:numId w:val="4"/>
        </w:numPr>
        <w:spacing w:line="360" w:lineRule="auto"/>
        <w:ind w:firstLineChars="0"/>
        <w:rPr>
          <w:b/>
          <w:bCs/>
        </w:rPr>
      </w:pPr>
      <w:r>
        <w:rPr>
          <w:rFonts w:hint="eastAsia"/>
          <w:b/>
          <w:bCs/>
        </w:rPr>
        <w:t>终止配送关系</w:t>
      </w:r>
      <w:r>
        <w:rPr>
          <w:b/>
          <w:bCs/>
        </w:rPr>
        <w:br w:type="textWrapping"/>
      </w:r>
      <w:r>
        <w:rPr>
          <w:rFonts w:hint="eastAsia"/>
        </w:rPr>
        <w:t>产品委托配送状态为“已同意”状态时，可点击操作栏【终止配送关系】按钮进行终止关系，终止时需填写理由，终止配送关系后，对应配送企业无法再对该产品进行对应区域的配送；</w:t>
      </w:r>
    </w:p>
    <w:p>
      <w:pPr>
        <w:pStyle w:val="5"/>
        <w:spacing w:line="360" w:lineRule="auto"/>
      </w:pPr>
      <w:r>
        <w:rPr>
          <w:rFonts w:hint="eastAsia"/>
        </w:rPr>
        <w:t>骨科脊柱部件</w:t>
      </w:r>
    </w:p>
    <w:p>
      <w:pPr>
        <w:spacing w:line="360" w:lineRule="auto"/>
      </w:pPr>
      <w:r>
        <w:drawing>
          <wp:inline distT="0" distB="0" distL="0" distR="0">
            <wp:extent cx="5274310" cy="2959735"/>
            <wp:effectExtent l="0" t="0" r="2540" b="0"/>
            <wp:docPr id="1339302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02091" name="图片 1"/>
                    <pic:cNvPicPr>
                      <a:picLocks noChangeAspect="1"/>
                    </pic:cNvPicPr>
                  </pic:nvPicPr>
                  <pic:blipFill>
                    <a:blip r:embed="rId13"/>
                    <a:stretch>
                      <a:fillRect/>
                    </a:stretch>
                  </pic:blipFill>
                  <pic:spPr>
                    <a:xfrm>
                      <a:off x="0" y="0"/>
                      <a:ext cx="5274310" cy="2959735"/>
                    </a:xfrm>
                    <a:prstGeom prst="rect">
                      <a:avLst/>
                    </a:prstGeom>
                  </pic:spPr>
                </pic:pic>
              </a:graphicData>
            </a:graphic>
          </wp:inline>
        </w:drawing>
      </w:r>
    </w:p>
    <w:p>
      <w:pPr>
        <w:spacing w:line="360" w:lineRule="auto"/>
      </w:pPr>
      <w:r>
        <w:rPr>
          <w:rFonts w:hint="eastAsia"/>
        </w:rPr>
        <w:t>功能说明：</w:t>
      </w:r>
    </w:p>
    <w:p>
      <w:pPr>
        <w:pStyle w:val="21"/>
        <w:numPr>
          <w:ilvl w:val="0"/>
          <w:numId w:val="5"/>
        </w:numPr>
        <w:spacing w:line="360" w:lineRule="auto"/>
        <w:ind w:firstLineChars="0"/>
        <w:rPr>
          <w:b/>
          <w:bCs/>
        </w:rPr>
      </w:pPr>
      <w:r>
        <w:rPr>
          <w:rFonts w:hint="eastAsia"/>
          <w:b/>
          <w:bCs/>
        </w:rPr>
        <w:t>撤回</w:t>
      </w:r>
      <w:r>
        <w:rPr>
          <w:b/>
          <w:bCs/>
        </w:rPr>
        <w:br w:type="textWrapping"/>
      </w:r>
      <w:r>
        <w:rPr>
          <w:rFonts w:hint="eastAsia"/>
        </w:rPr>
        <w:t>产品委托配送状态为“待响应”状态时，可点击操作栏【撤回】按钮进行撤回，撤回后，对应配送企业不会看到该条已撤回的委托配送信息；</w:t>
      </w:r>
    </w:p>
    <w:p>
      <w:pPr>
        <w:pStyle w:val="21"/>
        <w:numPr>
          <w:ilvl w:val="0"/>
          <w:numId w:val="5"/>
        </w:numPr>
        <w:spacing w:line="360" w:lineRule="auto"/>
        <w:ind w:firstLineChars="0"/>
        <w:rPr>
          <w:b/>
          <w:bCs/>
        </w:rPr>
      </w:pPr>
      <w:r>
        <w:rPr>
          <w:rFonts w:hint="eastAsia"/>
          <w:b/>
          <w:bCs/>
        </w:rPr>
        <w:t>终止配送关系</w:t>
      </w:r>
      <w:r>
        <w:rPr>
          <w:b/>
          <w:bCs/>
        </w:rPr>
        <w:br w:type="textWrapping"/>
      </w:r>
      <w:r>
        <w:rPr>
          <w:rFonts w:hint="eastAsia"/>
        </w:rPr>
        <w:t>产品委托配送状态为“已同意”状态时，可点击操作栏【终止配送关系】按钮进行终止关系，终止时需填写理由，终止配送关系后，该配送企业无法再对该产品进行对应区域的配送；</w:t>
      </w:r>
    </w:p>
    <w:p>
      <w:pPr>
        <w:pStyle w:val="3"/>
        <w:spacing w:line="360" w:lineRule="auto"/>
      </w:pPr>
      <w:bookmarkStart w:id="6" w:name="_Toc141462576"/>
      <w:r>
        <w:rPr>
          <w:rFonts w:hint="eastAsia"/>
        </w:rPr>
        <w:t>议价管理</w:t>
      </w:r>
      <w:bookmarkEnd w:id="6"/>
    </w:p>
    <w:p>
      <w:pPr>
        <w:spacing w:line="360" w:lineRule="auto"/>
      </w:pPr>
      <w:r>
        <w:rPr>
          <w:rFonts w:hint="eastAsia"/>
        </w:rPr>
        <w:t>医疗机构将本企业骨科脊柱产品加入本院目录后，可针对非中选骨科脊柱部件进行议价，医疗机构发起议价后，本企业可在【议价管理】中参与议价，议价页面如下图所示：</w:t>
      </w:r>
    </w:p>
    <w:p>
      <w:pPr>
        <w:spacing w:line="360" w:lineRule="auto"/>
      </w:pPr>
      <w:r>
        <w:drawing>
          <wp:inline distT="0" distB="0" distL="0" distR="0">
            <wp:extent cx="5274310" cy="2178050"/>
            <wp:effectExtent l="0" t="0" r="2540" b="0"/>
            <wp:docPr id="1855276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6748" name="图片 1"/>
                    <pic:cNvPicPr>
                      <a:picLocks noChangeAspect="1"/>
                    </pic:cNvPicPr>
                  </pic:nvPicPr>
                  <pic:blipFill>
                    <a:blip r:embed="rId14"/>
                    <a:stretch>
                      <a:fillRect/>
                    </a:stretch>
                  </pic:blipFill>
                  <pic:spPr>
                    <a:xfrm>
                      <a:off x="0" y="0"/>
                      <a:ext cx="5274310" cy="2178050"/>
                    </a:xfrm>
                    <a:prstGeom prst="rect">
                      <a:avLst/>
                    </a:prstGeom>
                  </pic:spPr>
                </pic:pic>
              </a:graphicData>
            </a:graphic>
          </wp:inline>
        </w:drawing>
      </w:r>
    </w:p>
    <w:p>
      <w:pPr>
        <w:spacing w:line="360" w:lineRule="auto"/>
      </w:pPr>
      <w:r>
        <w:rPr>
          <w:rFonts w:hint="eastAsia"/>
        </w:rPr>
        <w:t>功能说明：</w:t>
      </w:r>
    </w:p>
    <w:p>
      <w:pPr>
        <w:pStyle w:val="21"/>
        <w:numPr>
          <w:ilvl w:val="0"/>
          <w:numId w:val="6"/>
        </w:numPr>
        <w:spacing w:line="360" w:lineRule="auto"/>
        <w:ind w:firstLineChars="0"/>
      </w:pPr>
      <w:r>
        <w:rPr>
          <w:rFonts w:hint="eastAsia"/>
          <w:b/>
          <w:bCs/>
        </w:rPr>
        <w:t>拒绝</w:t>
      </w:r>
    </w:p>
    <w:p>
      <w:pPr>
        <w:pStyle w:val="21"/>
        <w:spacing w:line="360" w:lineRule="auto"/>
        <w:ind w:left="420" w:firstLine="0" w:firstLineChars="0"/>
      </w:pPr>
      <w:r>
        <w:rPr>
          <w:rFonts w:hint="eastAsia"/>
        </w:rPr>
        <w:t>进入【议价中】页面对议价进行响应，若不同意医院报价则可点击【拒绝】并填写拒绝理由；</w:t>
      </w:r>
    </w:p>
    <w:p>
      <w:pPr>
        <w:pStyle w:val="21"/>
        <w:numPr>
          <w:ilvl w:val="0"/>
          <w:numId w:val="6"/>
        </w:numPr>
        <w:spacing w:line="360" w:lineRule="auto"/>
        <w:ind w:firstLineChars="0"/>
      </w:pPr>
      <w:r>
        <w:rPr>
          <w:rFonts w:hint="eastAsia"/>
          <w:b/>
          <w:bCs/>
        </w:rPr>
        <w:t>报价</w:t>
      </w:r>
      <w:r>
        <w:rPr>
          <w:b/>
          <w:bCs/>
        </w:rPr>
        <w:br w:type="textWrapping"/>
      </w:r>
      <w:r>
        <w:rPr>
          <w:rFonts w:hint="eastAsia"/>
        </w:rPr>
        <w:t>若对于医院报价不满意，也可回报一个价格，点击操作栏【报价】填写价格、备注等信息进行提交，提交后医院可查看到本企业的报价并进行响应，企业可在该页面查看到响应结果，若同意则本轮议价结束，医院后面使用该价格进行采购；</w:t>
      </w:r>
    </w:p>
    <w:p>
      <w:pPr>
        <w:pStyle w:val="21"/>
        <w:numPr>
          <w:ilvl w:val="0"/>
          <w:numId w:val="6"/>
        </w:numPr>
        <w:spacing w:line="360" w:lineRule="auto"/>
        <w:ind w:firstLineChars="0"/>
      </w:pPr>
      <w:r>
        <w:rPr>
          <w:rFonts w:hint="eastAsia"/>
          <w:b/>
          <w:bCs/>
        </w:rPr>
        <w:t>同意</w:t>
      </w:r>
      <w:r>
        <w:rPr>
          <w:rFonts w:hint="eastAsia"/>
          <w:b/>
          <w:bCs/>
        </w:rPr>
        <w:br w:type="textWrapping"/>
      </w:r>
      <w:r>
        <w:rPr>
          <w:rFonts w:hint="eastAsia"/>
        </w:rPr>
        <w:t>进入【议价中】页面对议价进行响应，若同意医院报价则可点击【同意】，同意后该条议价信息进入【已完成】议价页面，之后医院使用已同意的价格采购；</w:t>
      </w:r>
    </w:p>
    <w:p>
      <w:pPr>
        <w:spacing w:line="360" w:lineRule="auto"/>
      </w:pPr>
    </w:p>
    <w:p>
      <w:pPr>
        <w:spacing w:line="360" w:lineRule="auto"/>
      </w:pPr>
    </w:p>
    <w:p>
      <w:pPr>
        <w:spacing w:line="360" w:lineRule="auto"/>
      </w:pPr>
    </w:p>
    <w:p>
      <w:pPr>
        <w:spacing w:line="360" w:lineRule="auto"/>
      </w:pPr>
    </w:p>
    <w:p>
      <w:pPr>
        <w:pStyle w:val="3"/>
        <w:spacing w:line="360" w:lineRule="auto"/>
      </w:pPr>
      <w:bookmarkStart w:id="7" w:name="_Toc141462577"/>
      <w:r>
        <w:rPr>
          <w:rFonts w:hint="eastAsia"/>
        </w:rPr>
        <w:t>合同管理</w:t>
      </w:r>
      <w:bookmarkEnd w:id="7"/>
    </w:p>
    <w:p>
      <w:pPr>
        <w:spacing w:line="360" w:lineRule="auto"/>
      </w:pPr>
      <w:r>
        <w:rPr>
          <w:rFonts w:hint="eastAsia"/>
        </w:rPr>
        <w:t>医疗机构将本企业骨科脊柱系统产品加入本院目录后，需完成三方协议签订后才能进行采购，医疗机构发起三方协议签订后，本企业可在【合同管理】中参与三方协议签订，合同管理页面如下图所示：</w:t>
      </w:r>
    </w:p>
    <w:p>
      <w:pPr>
        <w:spacing w:line="360" w:lineRule="auto"/>
      </w:pPr>
      <w:r>
        <w:drawing>
          <wp:inline distT="0" distB="0" distL="0" distR="0">
            <wp:extent cx="5274310" cy="1831975"/>
            <wp:effectExtent l="0" t="0" r="2540" b="0"/>
            <wp:docPr id="656407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07600" name="图片 1"/>
                    <pic:cNvPicPr>
                      <a:picLocks noChangeAspect="1"/>
                    </pic:cNvPicPr>
                  </pic:nvPicPr>
                  <pic:blipFill>
                    <a:blip r:embed="rId15"/>
                    <a:stretch>
                      <a:fillRect/>
                    </a:stretch>
                  </pic:blipFill>
                  <pic:spPr>
                    <a:xfrm>
                      <a:off x="0" y="0"/>
                      <a:ext cx="5274310" cy="1831975"/>
                    </a:xfrm>
                    <a:prstGeom prst="rect">
                      <a:avLst/>
                    </a:prstGeom>
                  </pic:spPr>
                </pic:pic>
              </a:graphicData>
            </a:graphic>
          </wp:inline>
        </w:drawing>
      </w:r>
    </w:p>
    <w:p>
      <w:pPr>
        <w:spacing w:line="360" w:lineRule="auto"/>
      </w:pPr>
      <w:r>
        <w:rPr>
          <w:rFonts w:hint="eastAsia"/>
        </w:rPr>
        <w:t>功能说明：</w:t>
      </w:r>
    </w:p>
    <w:p>
      <w:pPr>
        <w:pStyle w:val="21"/>
        <w:numPr>
          <w:ilvl w:val="0"/>
          <w:numId w:val="6"/>
        </w:numPr>
        <w:spacing w:line="360" w:lineRule="auto"/>
        <w:ind w:firstLineChars="0"/>
      </w:pPr>
      <w:r>
        <w:rPr>
          <w:rFonts w:hint="eastAsia"/>
          <w:b/>
          <w:bCs/>
        </w:rPr>
        <w:t>拒绝</w:t>
      </w:r>
    </w:p>
    <w:p>
      <w:pPr>
        <w:pStyle w:val="21"/>
        <w:spacing w:line="360" w:lineRule="auto"/>
        <w:ind w:left="420" w:firstLine="0" w:firstLineChars="0"/>
      </w:pPr>
      <w:r>
        <w:rPr>
          <w:rFonts w:hint="eastAsia"/>
        </w:rPr>
        <w:t>若不同意医院发起的三方协议，则可点击【拒绝】并填写拒绝理由；</w:t>
      </w:r>
    </w:p>
    <w:p>
      <w:pPr>
        <w:pStyle w:val="21"/>
        <w:numPr>
          <w:ilvl w:val="0"/>
          <w:numId w:val="6"/>
        </w:numPr>
        <w:spacing w:line="360" w:lineRule="auto"/>
        <w:ind w:firstLineChars="0"/>
      </w:pPr>
      <w:r>
        <w:rPr>
          <w:rFonts w:hint="eastAsia"/>
          <w:b/>
          <w:bCs/>
        </w:rPr>
        <w:t>确认</w:t>
      </w:r>
    </w:p>
    <w:p>
      <w:pPr>
        <w:pStyle w:val="21"/>
        <w:spacing w:line="360" w:lineRule="auto"/>
        <w:ind w:left="420" w:firstLine="0" w:firstLineChars="0"/>
      </w:pPr>
      <w:r>
        <w:rPr>
          <w:rFonts w:hint="eastAsia"/>
        </w:rPr>
        <w:t>若同意签订医院发起的三方协议，点击操作栏【确认】按钮，系统跳转至三方协议签订详情页，在页面最下方填写联系人以及联系人方式后，点击【确认】按钮进行提交，之后待配送企业方确认后，医院便可对该系统进行采购。</w:t>
      </w:r>
    </w:p>
    <w:p>
      <w:pPr>
        <w:pStyle w:val="21"/>
        <w:spacing w:line="360" w:lineRule="auto"/>
        <w:ind w:left="420" w:firstLine="0" w:firstLineChars="0"/>
      </w:pPr>
      <w:r>
        <w:drawing>
          <wp:inline distT="0" distB="0" distL="0" distR="0">
            <wp:extent cx="5274310" cy="2667000"/>
            <wp:effectExtent l="0" t="0" r="2540" b="0"/>
            <wp:docPr id="886971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71911" name="图片 1"/>
                    <pic:cNvPicPr>
                      <a:picLocks noChangeAspect="1"/>
                    </pic:cNvPicPr>
                  </pic:nvPicPr>
                  <pic:blipFill>
                    <a:blip r:embed="rId16"/>
                    <a:stretch>
                      <a:fillRect/>
                    </a:stretch>
                  </pic:blipFill>
                  <pic:spPr>
                    <a:xfrm>
                      <a:off x="0" y="0"/>
                      <a:ext cx="5274310" cy="2667000"/>
                    </a:xfrm>
                    <a:prstGeom prst="rect">
                      <a:avLst/>
                    </a:prstGeom>
                  </pic:spPr>
                </pic:pic>
              </a:graphicData>
            </a:graphic>
          </wp:inline>
        </w:drawing>
      </w:r>
    </w:p>
    <w:p>
      <w:pPr>
        <w:pStyle w:val="21"/>
        <w:spacing w:line="360" w:lineRule="auto"/>
        <w:ind w:left="420" w:firstLine="0" w:firstLineChars="0"/>
      </w:pPr>
    </w:p>
    <w:p>
      <w:pPr>
        <w:pStyle w:val="21"/>
        <w:numPr>
          <w:ilvl w:val="0"/>
          <w:numId w:val="6"/>
        </w:numPr>
        <w:spacing w:line="360" w:lineRule="auto"/>
        <w:ind w:firstLineChars="0"/>
        <w:rPr>
          <w:b/>
          <w:bCs/>
        </w:rPr>
      </w:pPr>
      <w:r>
        <w:rPr>
          <w:rFonts w:hint="eastAsia"/>
          <w:b/>
          <w:bCs/>
        </w:rPr>
        <w:t>批量确认作废</w:t>
      </w:r>
    </w:p>
    <w:p>
      <w:pPr>
        <w:pStyle w:val="21"/>
        <w:spacing w:line="360" w:lineRule="auto"/>
        <w:ind w:left="420" w:firstLine="0" w:firstLineChars="0"/>
        <w:rPr>
          <w:b/>
          <w:bCs/>
        </w:rPr>
      </w:pPr>
      <w:r>
        <w:rPr>
          <w:rFonts w:hint="eastAsia"/>
        </w:rPr>
        <w:t>合同签订完成后，合同状态为生效中时，医院端提交该合同撤废申请，点击该合同左方勾选框后，若同意可点击【</w:t>
      </w:r>
      <w:r>
        <w:rPr>
          <w:rFonts w:hint="eastAsia"/>
          <w:b/>
          <w:bCs/>
        </w:rPr>
        <w:t>批量确认作废</w:t>
      </w:r>
      <w:r>
        <w:rPr>
          <w:rFonts w:hint="eastAsia"/>
        </w:rPr>
        <w:t>】按钮并填写撤废意见;</w:t>
      </w:r>
    </w:p>
    <w:p>
      <w:pPr>
        <w:pStyle w:val="21"/>
        <w:numPr>
          <w:ilvl w:val="0"/>
          <w:numId w:val="6"/>
        </w:numPr>
        <w:spacing w:line="360" w:lineRule="auto"/>
        <w:ind w:firstLineChars="0"/>
        <w:rPr>
          <w:b/>
          <w:bCs/>
        </w:rPr>
      </w:pPr>
      <w:r>
        <w:rPr>
          <w:rFonts w:hint="eastAsia"/>
          <w:b/>
          <w:bCs/>
        </w:rPr>
        <w:t>批量拒绝作废</w:t>
      </w:r>
    </w:p>
    <w:p>
      <w:pPr>
        <w:pStyle w:val="21"/>
        <w:spacing w:line="360" w:lineRule="auto"/>
        <w:ind w:left="420" w:firstLine="0" w:firstLineChars="0"/>
        <w:rPr>
          <w:rFonts w:hint="eastAsia"/>
        </w:rPr>
      </w:pPr>
      <w:r>
        <w:rPr>
          <w:rFonts w:hint="eastAsia"/>
        </w:rPr>
        <w:t>合同签订完成后，合同状态为生效中时，医院端提交该合同撤废申请，点击该合同左方勾选框后，若不同意可点击【</w:t>
      </w:r>
      <w:r>
        <w:rPr>
          <w:rFonts w:hint="eastAsia"/>
          <w:b/>
          <w:bCs/>
        </w:rPr>
        <w:t>批量拒绝作废</w:t>
      </w:r>
      <w:r>
        <w:rPr>
          <w:rFonts w:hint="eastAsia"/>
        </w:rPr>
        <w:t>】按钮并填写不同意撤废意见;</w:t>
      </w: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pStyle w:val="21"/>
        <w:spacing w:line="360" w:lineRule="auto"/>
        <w:ind w:left="420" w:firstLine="0" w:firstLineChars="0"/>
        <w:rPr>
          <w:rFonts w:hint="eastAsia"/>
        </w:rPr>
      </w:pPr>
    </w:p>
    <w:p>
      <w:pPr>
        <w:spacing w:line="360" w:lineRule="auto"/>
        <w:jc w:val="center"/>
        <w:rPr>
          <w:rFonts w:cs="Times New Roman"/>
          <w:color w:val="auto"/>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r>
        <w:rPr>
          <w:rFonts w:hint="eastAsia"/>
          <w:sz w:val="58"/>
          <w:szCs w:val="52"/>
        </w:rPr>
        <w:t>青海省药品和耗材一体化管理系统 -</w:t>
      </w:r>
      <w:r>
        <w:rPr>
          <w:sz w:val="58"/>
          <w:szCs w:val="52"/>
        </w:rPr>
        <w:t xml:space="preserve"> </w:t>
      </w:r>
      <w:r>
        <w:rPr>
          <w:rFonts w:hint="eastAsia"/>
          <w:sz w:val="58"/>
          <w:szCs w:val="52"/>
        </w:rPr>
        <w:t>脊柱交易操作指引</w:t>
      </w:r>
    </w:p>
    <w:p>
      <w:pPr>
        <w:spacing w:line="360" w:lineRule="auto"/>
        <w:jc w:val="center"/>
        <w:rPr>
          <w:sz w:val="58"/>
          <w:szCs w:val="52"/>
        </w:rPr>
      </w:pPr>
      <w:r>
        <w:rPr>
          <w:rFonts w:hint="eastAsia"/>
          <w:sz w:val="58"/>
          <w:szCs w:val="52"/>
        </w:rPr>
        <w:t>（配送企业）</w:t>
      </w: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32"/>
          <w:szCs w:val="32"/>
        </w:rPr>
      </w:pPr>
      <w:r>
        <w:rPr>
          <w:rFonts w:hint="eastAsia"/>
          <w:sz w:val="32"/>
          <w:szCs w:val="32"/>
        </w:rPr>
        <w:t>202</w:t>
      </w:r>
      <w:r>
        <w:rPr>
          <w:sz w:val="32"/>
          <w:szCs w:val="32"/>
        </w:rPr>
        <w:t>3</w:t>
      </w:r>
      <w:r>
        <w:rPr>
          <w:rFonts w:hint="eastAsia"/>
          <w:sz w:val="32"/>
          <w:szCs w:val="32"/>
        </w:rPr>
        <w:t>年</w:t>
      </w:r>
      <w:r>
        <w:rPr>
          <w:rFonts w:hint="eastAsia"/>
          <w:sz w:val="32"/>
          <w:szCs w:val="32"/>
          <w:lang w:val="en-US" w:eastAsia="zh-CN"/>
        </w:rPr>
        <w:t>9</w:t>
      </w:r>
      <w:r>
        <w:rPr>
          <w:rFonts w:hint="eastAsia"/>
          <w:sz w:val="32"/>
          <w:szCs w:val="32"/>
        </w:rPr>
        <w:t>月</w:t>
      </w:r>
    </w:p>
    <w:p>
      <w:pPr>
        <w:spacing w:after="0" w:line="360" w:lineRule="auto"/>
        <w:ind w:left="0" w:firstLine="0"/>
        <w:rPr>
          <w:b/>
          <w:bCs/>
          <w:sz w:val="52"/>
          <w:szCs w:val="52"/>
        </w:rPr>
      </w:pPr>
      <w:r>
        <w:rPr>
          <w:b/>
          <w:bCs/>
          <w:sz w:val="52"/>
          <w:szCs w:val="52"/>
        </w:rPr>
        <w:br w:type="page"/>
      </w:r>
      <w:bookmarkStart w:id="20" w:name="_GoBack"/>
      <w:bookmarkEnd w:id="20"/>
    </w:p>
    <w:sdt>
      <w:sdtPr>
        <w:rPr>
          <w:rFonts w:ascii="宋体" w:hAnsi="宋体" w:eastAsia="宋体" w:cs="宋体"/>
          <w:color w:val="000000"/>
          <w:kern w:val="2"/>
          <w:sz w:val="24"/>
          <w:szCs w:val="22"/>
          <w:lang w:val="zh-CN"/>
        </w:rPr>
        <w:id w:val="1177997785"/>
        <w:docPartObj>
          <w:docPartGallery w:val="Table of Contents"/>
          <w:docPartUnique/>
        </w:docPartObj>
      </w:sdtPr>
      <w:sdtEndPr>
        <w:rPr>
          <w:rFonts w:ascii="宋体" w:hAnsi="宋体" w:eastAsia="宋体" w:cs="宋体"/>
          <w:b/>
          <w:bCs/>
          <w:color w:val="000000"/>
          <w:kern w:val="2"/>
          <w:sz w:val="24"/>
          <w:szCs w:val="22"/>
          <w:lang w:val="zh-CN"/>
        </w:rPr>
      </w:sdtEndPr>
      <w:sdtContent>
        <w:p>
          <w:pPr>
            <w:pStyle w:val="33"/>
          </w:pPr>
          <w:r>
            <w:rPr>
              <w:lang w:val="zh-CN"/>
            </w:rPr>
            <w:t>目录</w:t>
          </w:r>
        </w:p>
        <w:p>
          <w:pPr>
            <w:pStyle w:val="15"/>
            <w:tabs>
              <w:tab w:val="left" w:pos="420"/>
              <w:tab w:val="right" w:leader="dot" w:pos="8296"/>
            </w:tabs>
            <w:rPr>
              <w:rFonts w:asciiTheme="minorHAnsi" w:hAnsiTheme="minorHAnsi" w:eastAsiaTheme="minorEastAsia" w:cstheme="minorBidi"/>
              <w:color w:val="auto"/>
              <w:sz w:val="21"/>
              <w14:ligatures w14:val="standardContextual"/>
            </w:rPr>
          </w:pPr>
          <w:r>
            <w:fldChar w:fldCharType="begin"/>
          </w:r>
          <w:r>
            <w:instrText xml:space="preserve"> TOC \o "1-3" \h \z \u </w:instrText>
          </w:r>
          <w:r>
            <w:fldChar w:fldCharType="separate"/>
          </w:r>
          <w:r>
            <w:fldChar w:fldCharType="begin"/>
          </w:r>
          <w:r>
            <w:instrText xml:space="preserve"> HYPERLINK \l "_Toc141522166" </w:instrText>
          </w:r>
          <w:r>
            <w:fldChar w:fldCharType="separate"/>
          </w:r>
          <w:r>
            <w:rPr>
              <w:rStyle w:val="19"/>
              <w:rFonts w:ascii="黑体" w:hAnsi="黑体" w:eastAsia="黑体"/>
            </w:rPr>
            <w:t>1</w:t>
          </w:r>
          <w:r>
            <w:rPr>
              <w:rFonts w:asciiTheme="minorHAnsi" w:hAnsiTheme="minorHAnsi" w:eastAsiaTheme="minorEastAsia" w:cstheme="minorBidi"/>
              <w:color w:val="auto"/>
              <w:sz w:val="21"/>
              <w14:ligatures w14:val="standardContextual"/>
            </w:rPr>
            <w:tab/>
          </w:r>
          <w:r>
            <w:rPr>
              <w:rStyle w:val="19"/>
              <w:rFonts w:ascii="方正黑体_GBK"/>
            </w:rPr>
            <w:t>关于这本手册</w:t>
          </w:r>
          <w:r>
            <w:tab/>
          </w:r>
          <w:r>
            <w:fldChar w:fldCharType="begin"/>
          </w:r>
          <w:r>
            <w:instrText xml:space="preserve"> PAGEREF _Toc141522166 \h </w:instrText>
          </w:r>
          <w:r>
            <w:fldChar w:fldCharType="separate"/>
          </w:r>
          <w:r>
            <w:t>3</w:t>
          </w:r>
          <w:r>
            <w:fldChar w:fldCharType="end"/>
          </w:r>
          <w:r>
            <w:fldChar w:fldCharType="end"/>
          </w:r>
        </w:p>
        <w:p>
          <w:pPr>
            <w:pStyle w:val="15"/>
            <w:tabs>
              <w:tab w:val="left" w:pos="420"/>
              <w:tab w:val="right" w:leader="dot" w:pos="8296"/>
            </w:tabs>
            <w:rPr>
              <w:rFonts w:asciiTheme="minorHAnsi" w:hAnsiTheme="minorHAnsi" w:eastAsiaTheme="minorEastAsia" w:cstheme="minorBidi"/>
              <w:color w:val="auto"/>
              <w:sz w:val="21"/>
              <w14:ligatures w14:val="standardContextual"/>
            </w:rPr>
          </w:pPr>
          <w:r>
            <w:fldChar w:fldCharType="begin"/>
          </w:r>
          <w:r>
            <w:instrText xml:space="preserve"> HYPERLINK \l "_Toc141522167" </w:instrText>
          </w:r>
          <w:r>
            <w:fldChar w:fldCharType="separate"/>
          </w:r>
          <w:r>
            <w:rPr>
              <w:rStyle w:val="19"/>
              <w:rFonts w:ascii="黑体" w:hAnsi="黑体" w:eastAsia="黑体"/>
            </w:rPr>
            <w:t>2</w:t>
          </w:r>
          <w:r>
            <w:rPr>
              <w:rFonts w:asciiTheme="minorHAnsi" w:hAnsiTheme="minorHAnsi" w:eastAsiaTheme="minorEastAsia" w:cstheme="minorBidi"/>
              <w:color w:val="auto"/>
              <w:sz w:val="21"/>
              <w14:ligatures w14:val="standardContextual"/>
            </w:rPr>
            <w:tab/>
          </w:r>
          <w:r>
            <w:rPr>
              <w:rStyle w:val="19"/>
            </w:rPr>
            <w:t>功能说明</w:t>
          </w:r>
          <w:r>
            <w:tab/>
          </w:r>
          <w:r>
            <w:fldChar w:fldCharType="begin"/>
          </w:r>
          <w:r>
            <w:instrText xml:space="preserve"> PAGEREF _Toc141522167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"_Toc141522168" </w:instrText>
          </w:r>
          <w:r>
            <w:fldChar w:fldCharType="separate"/>
          </w:r>
          <w:r>
            <w:rPr>
              <w:rStyle w:val="19"/>
            </w:rPr>
            <w:t>2.1</w:t>
          </w:r>
          <w:r>
            <w:rPr>
              <w:rFonts w:asciiTheme="minorHAnsi" w:hAnsiTheme="minorHAnsi" w:eastAsiaTheme="minorEastAsia" w:cstheme="minorBidi"/>
              <w:color w:val="auto"/>
              <w:sz w:val="21"/>
              <w14:ligatures w14:val="standardContextual"/>
            </w:rPr>
            <w:tab/>
          </w:r>
          <w:r>
            <w:rPr>
              <w:rStyle w:val="19"/>
            </w:rPr>
            <w:t>登陆</w:t>
          </w:r>
          <w:r>
            <w:tab/>
          </w:r>
          <w:r>
            <w:fldChar w:fldCharType="begin"/>
          </w:r>
          <w:r>
            <w:instrText xml:space="preserve"> PAGEREF _Toc141522168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"_Toc141522169" </w:instrText>
          </w:r>
          <w:r>
            <w:fldChar w:fldCharType="separate"/>
          </w:r>
          <w:r>
            <w:rPr>
              <w:rStyle w:val="19"/>
            </w:rPr>
            <w:t>2.2</w:t>
          </w:r>
          <w:r>
            <w:rPr>
              <w:rFonts w:asciiTheme="minorHAnsi" w:hAnsiTheme="minorHAnsi" w:eastAsiaTheme="minorEastAsia" w:cstheme="minorBidi"/>
              <w:color w:val="auto"/>
              <w:sz w:val="21"/>
              <w14:ligatures w14:val="standardContextual"/>
            </w:rPr>
            <w:tab/>
          </w:r>
          <w:r>
            <w:rPr>
              <w:rStyle w:val="19"/>
            </w:rPr>
            <w:t>配送关系管理</w:t>
          </w:r>
          <w:r>
            <w:tab/>
          </w:r>
          <w:r>
            <w:fldChar w:fldCharType="begin"/>
          </w:r>
          <w:r>
            <w:instrText xml:space="preserve"> PAGEREF _Toc141522169 \h </w:instrText>
          </w:r>
          <w:r>
            <w:fldChar w:fldCharType="separate"/>
          </w:r>
          <w:r>
            <w:t>3</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"_Toc141522170" </w:instrText>
          </w:r>
          <w:r>
            <w:fldChar w:fldCharType="separate"/>
          </w:r>
          <w:r>
            <w:rPr>
              <w:rStyle w:val="19"/>
            </w:rPr>
            <w:t>2.2.1</w:t>
          </w:r>
          <w:r>
            <w:rPr>
              <w:rFonts w:asciiTheme="minorHAnsi" w:hAnsiTheme="minorHAnsi" w:eastAsiaTheme="minorEastAsia" w:cstheme="minorBidi"/>
              <w:color w:val="auto"/>
              <w:sz w:val="21"/>
              <w14:ligatures w14:val="standardContextual"/>
            </w:rPr>
            <w:tab/>
          </w:r>
          <w:r>
            <w:rPr>
              <w:rStyle w:val="19"/>
            </w:rPr>
            <w:t>委托配送关系管理</w:t>
          </w:r>
          <w:r>
            <w:tab/>
          </w:r>
          <w:r>
            <w:fldChar w:fldCharType="begin"/>
          </w:r>
          <w:r>
            <w:instrText xml:space="preserve"> PAGEREF _Toc141522170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"_Toc141522171" </w:instrText>
          </w:r>
          <w:r>
            <w:fldChar w:fldCharType="separate"/>
          </w:r>
          <w:r>
            <w:rPr>
              <w:rStyle w:val="19"/>
            </w:rPr>
            <w:t>2.3</w:t>
          </w:r>
          <w:r>
            <w:rPr>
              <w:rFonts w:asciiTheme="minorHAnsi" w:hAnsiTheme="minorHAnsi" w:eastAsiaTheme="minorEastAsia" w:cstheme="minorBidi"/>
              <w:color w:val="auto"/>
              <w:sz w:val="21"/>
              <w14:ligatures w14:val="standardContextual"/>
            </w:rPr>
            <w:tab/>
          </w:r>
          <w:r>
            <w:rPr>
              <w:rStyle w:val="19"/>
            </w:rPr>
            <w:t>订单管理</w:t>
          </w:r>
          <w:r>
            <w:tab/>
          </w:r>
          <w:r>
            <w:fldChar w:fldCharType="begin"/>
          </w:r>
          <w:r>
            <w:instrText xml:space="preserve"> PAGEREF _Toc141522171 \h </w:instrText>
          </w:r>
          <w:r>
            <w:fldChar w:fldCharType="separate"/>
          </w:r>
          <w:r>
            <w:t>5</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"_Toc141522172" </w:instrText>
          </w:r>
          <w:r>
            <w:fldChar w:fldCharType="separate"/>
          </w:r>
          <w:r>
            <w:rPr>
              <w:rStyle w:val="19"/>
            </w:rPr>
            <w:t>2.3.1</w:t>
          </w:r>
          <w:r>
            <w:rPr>
              <w:rFonts w:asciiTheme="minorHAnsi" w:hAnsiTheme="minorHAnsi" w:eastAsiaTheme="minorEastAsia" w:cstheme="minorBidi"/>
              <w:color w:val="auto"/>
              <w:sz w:val="21"/>
              <w14:ligatures w14:val="standardContextual"/>
            </w:rPr>
            <w:tab/>
          </w:r>
          <w:r>
            <w:rPr>
              <w:rStyle w:val="19"/>
            </w:rPr>
            <w:t>骨科脊柱系统</w:t>
          </w:r>
          <w:r>
            <w:tab/>
          </w:r>
          <w:r>
            <w:fldChar w:fldCharType="begin"/>
          </w:r>
          <w:r>
            <w:instrText xml:space="preserve"> PAGEREF _Toc141522172 \h </w:instrText>
          </w:r>
          <w:r>
            <w:fldChar w:fldCharType="separate"/>
          </w:r>
          <w:r>
            <w:t>6</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"_Toc141522173" </w:instrText>
          </w:r>
          <w:r>
            <w:fldChar w:fldCharType="separate"/>
          </w:r>
          <w:r>
            <w:rPr>
              <w:rStyle w:val="19"/>
            </w:rPr>
            <w:t>2.3.2</w:t>
          </w:r>
          <w:r>
            <w:rPr>
              <w:rFonts w:asciiTheme="minorHAnsi" w:hAnsiTheme="minorHAnsi" w:eastAsiaTheme="minorEastAsia" w:cstheme="minorBidi"/>
              <w:color w:val="auto"/>
              <w:sz w:val="21"/>
              <w14:ligatures w14:val="standardContextual"/>
            </w:rPr>
            <w:tab/>
          </w:r>
          <w:r>
            <w:rPr>
              <w:rStyle w:val="19"/>
            </w:rPr>
            <w:t>骨科脊柱部件</w:t>
          </w:r>
          <w:r>
            <w:tab/>
          </w:r>
          <w:r>
            <w:fldChar w:fldCharType="begin"/>
          </w:r>
          <w:r>
            <w:instrText xml:space="preserve"> PAGEREF _Toc141522173 \h </w:instrText>
          </w:r>
          <w:r>
            <w:fldChar w:fldCharType="separate"/>
          </w:r>
          <w:r>
            <w:t>7</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"_Toc141522174" </w:instrText>
          </w:r>
          <w:r>
            <w:fldChar w:fldCharType="separate"/>
          </w:r>
          <w:r>
            <w:rPr>
              <w:rStyle w:val="19"/>
            </w:rPr>
            <w:t>2.4</w:t>
          </w:r>
          <w:r>
            <w:rPr>
              <w:rFonts w:asciiTheme="minorHAnsi" w:hAnsiTheme="minorHAnsi" w:eastAsiaTheme="minorEastAsia" w:cstheme="minorBidi"/>
              <w:color w:val="auto"/>
              <w:sz w:val="21"/>
              <w14:ligatures w14:val="standardContextual"/>
            </w:rPr>
            <w:tab/>
          </w:r>
          <w:r>
            <w:rPr>
              <w:rStyle w:val="19"/>
            </w:rPr>
            <w:t>退货管理</w:t>
          </w:r>
          <w:r>
            <w:tab/>
          </w:r>
          <w:r>
            <w:fldChar w:fldCharType="begin"/>
          </w:r>
          <w:r>
            <w:instrText xml:space="preserve"> PAGEREF _Toc141522174 \h </w:instrText>
          </w:r>
          <w:r>
            <w:fldChar w:fldCharType="separate"/>
          </w:r>
          <w:r>
            <w:t>7</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"_Toc141522175" </w:instrText>
          </w:r>
          <w:r>
            <w:fldChar w:fldCharType="separate"/>
          </w:r>
          <w:r>
            <w:rPr>
              <w:rStyle w:val="19"/>
            </w:rPr>
            <w:t>2.4.1</w:t>
          </w:r>
          <w:r>
            <w:rPr>
              <w:rFonts w:asciiTheme="minorHAnsi" w:hAnsiTheme="minorHAnsi" w:eastAsiaTheme="minorEastAsia" w:cstheme="minorBidi"/>
              <w:color w:val="auto"/>
              <w:sz w:val="21"/>
              <w14:ligatures w14:val="standardContextual"/>
            </w:rPr>
            <w:tab/>
          </w:r>
          <w:r>
            <w:rPr>
              <w:rStyle w:val="19"/>
            </w:rPr>
            <w:t>骨科脊柱系统</w:t>
          </w:r>
          <w:r>
            <w:tab/>
          </w:r>
          <w:r>
            <w:fldChar w:fldCharType="begin"/>
          </w:r>
          <w:r>
            <w:instrText xml:space="preserve"> PAGEREF _Toc141522175 \h </w:instrText>
          </w:r>
          <w:r>
            <w:fldChar w:fldCharType="separate"/>
          </w:r>
          <w:r>
            <w:t>8</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"_Toc141522176" </w:instrText>
          </w:r>
          <w:r>
            <w:fldChar w:fldCharType="separate"/>
          </w:r>
          <w:r>
            <w:rPr>
              <w:rStyle w:val="19"/>
            </w:rPr>
            <w:t>2.4.2</w:t>
          </w:r>
          <w:r>
            <w:rPr>
              <w:rFonts w:asciiTheme="minorHAnsi" w:hAnsiTheme="minorHAnsi" w:eastAsiaTheme="minorEastAsia" w:cstheme="minorBidi"/>
              <w:color w:val="auto"/>
              <w:sz w:val="21"/>
              <w14:ligatures w14:val="standardContextual"/>
            </w:rPr>
            <w:tab/>
          </w:r>
          <w:r>
            <w:rPr>
              <w:rStyle w:val="19"/>
            </w:rPr>
            <w:t>骨科脊柱部件</w:t>
          </w:r>
          <w:r>
            <w:tab/>
          </w:r>
          <w:r>
            <w:fldChar w:fldCharType="begin"/>
          </w:r>
          <w:r>
            <w:instrText xml:space="preserve"> PAGEREF _Toc141522176 \h </w:instrText>
          </w:r>
          <w:r>
            <w:fldChar w:fldCharType="separate"/>
          </w:r>
          <w:r>
            <w:t>8</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"_Toc141522177" </w:instrText>
          </w:r>
          <w:r>
            <w:fldChar w:fldCharType="separate"/>
          </w:r>
          <w:r>
            <w:rPr>
              <w:rStyle w:val="19"/>
            </w:rPr>
            <w:t>2.5</w:t>
          </w:r>
          <w:r>
            <w:rPr>
              <w:rFonts w:asciiTheme="minorHAnsi" w:hAnsiTheme="minorHAnsi" w:eastAsiaTheme="minorEastAsia" w:cstheme="minorBidi"/>
              <w:color w:val="auto"/>
              <w:sz w:val="21"/>
              <w14:ligatures w14:val="standardContextual"/>
            </w:rPr>
            <w:tab/>
          </w:r>
          <w:r>
            <w:rPr>
              <w:rStyle w:val="19"/>
            </w:rPr>
            <w:t>合同管理</w:t>
          </w:r>
          <w:r>
            <w:tab/>
          </w:r>
          <w:r>
            <w:fldChar w:fldCharType="begin"/>
          </w:r>
          <w:r>
            <w:instrText xml:space="preserve"> PAGEREF _Toc141522177 \h </w:instrText>
          </w:r>
          <w:r>
            <w:fldChar w:fldCharType="separate"/>
          </w:r>
          <w:r>
            <w:t>9</w:t>
          </w:r>
          <w:r>
            <w:fldChar w:fldCharType="end"/>
          </w:r>
          <w:r>
            <w:fldChar w:fldCharType="end"/>
          </w:r>
        </w:p>
        <w:p>
          <w:r>
            <w:rPr>
              <w:b/>
              <w:bCs/>
              <w:lang w:val="zh-CN"/>
            </w:rPr>
            <w:fldChar w:fldCharType="end"/>
          </w:r>
        </w:p>
      </w:sdtContent>
    </w:sdt>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pStyle w:val="2"/>
        <w:spacing w:after="0" w:line="360" w:lineRule="auto"/>
        <w:rPr>
          <w:rFonts w:ascii="方正黑体_GBK"/>
          <w:szCs w:val="32"/>
        </w:rPr>
      </w:pPr>
      <w:bookmarkStart w:id="8" w:name="_Toc141522166"/>
      <w:r>
        <w:rPr>
          <w:rFonts w:hint="eastAsia" w:ascii="方正黑体_GBK"/>
          <w:szCs w:val="32"/>
        </w:rPr>
        <w:t>关于这本手册</w:t>
      </w:r>
      <w:bookmarkEnd w:id="8"/>
    </w:p>
    <w:p>
      <w:pPr>
        <w:spacing w:line="360" w:lineRule="auto"/>
      </w:pPr>
      <w:r>
        <w:rPr>
          <w:rFonts w:hint="eastAsia"/>
        </w:rPr>
        <w:t>该产品用户手册包含了您在使用招采平台——</w:t>
      </w:r>
      <w:r>
        <w:rPr>
          <w:rFonts w:hint="eastAsia"/>
          <w:kern w:val="0"/>
        </w:rPr>
        <w:t>脊柱交易</w:t>
      </w:r>
      <w:r>
        <w:rPr>
          <w:rFonts w:hint="eastAsia"/>
        </w:rPr>
        <w:t>模块时所需了解的信息。手册中所出现的用户名称及相关数据均为系统测试数据，不作为任何正式采购的依据，在本系统正式使用前将予以清除。</w:t>
      </w:r>
    </w:p>
    <w:p>
      <w:pPr>
        <w:pStyle w:val="2"/>
        <w:spacing w:line="360" w:lineRule="auto"/>
      </w:pPr>
      <w:bookmarkStart w:id="9" w:name="_Toc141522167"/>
      <w:r>
        <w:rPr>
          <w:rFonts w:hint="eastAsia"/>
        </w:rPr>
        <w:t>功能说明</w:t>
      </w:r>
      <w:bookmarkEnd w:id="9"/>
    </w:p>
    <w:p>
      <w:pPr>
        <w:pStyle w:val="3"/>
        <w:spacing w:line="360" w:lineRule="auto"/>
      </w:pPr>
      <w:bookmarkStart w:id="10" w:name="_Toc141522168"/>
      <w:r>
        <w:rPr>
          <w:rFonts w:hint="eastAsia"/>
        </w:rPr>
        <w:t>登陆</w:t>
      </w:r>
      <w:bookmarkEnd w:id="10"/>
    </w:p>
    <w:p>
      <w:pPr>
        <w:spacing w:line="360" w:lineRule="auto"/>
      </w:pPr>
      <w:r>
        <w:rPr>
          <w:rFonts w:hint="eastAsia"/>
        </w:rPr>
        <w:t>点击青海省招采网地址，输入用户账号、密码，登陆进入招采平台，点击【脊柱交易结算】进入脊柱交易模块：</w:t>
      </w:r>
    </w:p>
    <w:p>
      <w:pPr>
        <w:spacing w:line="360" w:lineRule="auto"/>
      </w:pPr>
      <w:r>
        <w:drawing>
          <wp:inline distT="0" distB="0" distL="0" distR="0">
            <wp:extent cx="5274310" cy="1139825"/>
            <wp:effectExtent l="0" t="0" r="2540" b="3175"/>
            <wp:docPr id="1642269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69460" name="图片 1"/>
                    <pic:cNvPicPr>
                      <a:picLocks noChangeAspect="1"/>
                    </pic:cNvPicPr>
                  </pic:nvPicPr>
                  <pic:blipFill>
                    <a:blip r:embed="rId17"/>
                    <a:stretch>
                      <a:fillRect/>
                    </a:stretch>
                  </pic:blipFill>
                  <pic:spPr>
                    <a:xfrm>
                      <a:off x="0" y="0"/>
                      <a:ext cx="5274310" cy="1139825"/>
                    </a:xfrm>
                    <a:prstGeom prst="rect">
                      <a:avLst/>
                    </a:prstGeom>
                  </pic:spPr>
                </pic:pic>
              </a:graphicData>
            </a:graphic>
          </wp:inline>
        </w:drawing>
      </w:r>
    </w:p>
    <w:p>
      <w:pPr>
        <w:pStyle w:val="3"/>
        <w:spacing w:line="360" w:lineRule="auto"/>
      </w:pPr>
      <w:bookmarkStart w:id="11" w:name="_Toc141522169"/>
      <w:r>
        <w:rPr>
          <w:rFonts w:hint="eastAsia"/>
        </w:rPr>
        <w:t>配送关系管理</w:t>
      </w:r>
      <w:bookmarkEnd w:id="11"/>
    </w:p>
    <w:p>
      <w:pPr>
        <w:spacing w:line="360" w:lineRule="auto"/>
      </w:pPr>
      <w:r>
        <w:rPr>
          <w:rFonts w:hint="eastAsia"/>
        </w:rPr>
        <w:t>进入耗材交易模块中点击左侧菜单【配送管理】进行企业配送关系管理。</w:t>
      </w:r>
    </w:p>
    <w:p>
      <w:pPr>
        <w:pStyle w:val="4"/>
        <w:spacing w:line="360" w:lineRule="auto"/>
      </w:pPr>
      <w:bookmarkStart w:id="12" w:name="_Toc141522170"/>
      <w:r>
        <w:rPr>
          <w:rFonts w:hint="eastAsia"/>
        </w:rPr>
        <w:t>委托配送关系管理</w:t>
      </w:r>
      <w:bookmarkEnd w:id="12"/>
    </w:p>
    <w:p>
      <w:pPr>
        <w:spacing w:line="360" w:lineRule="auto"/>
      </w:pPr>
      <w:r>
        <w:rPr>
          <w:rFonts w:hint="eastAsia"/>
        </w:rPr>
        <w:t>点击左侧菜单【配送管理】—【委托配送产品管理】进入委托配送关系管理页面，在该页面查看所有生产企业委托给本企业配送的产品信息以及委托状态，如下图所示：</w:t>
      </w:r>
    </w:p>
    <w:p>
      <w:pPr>
        <w:spacing w:line="360" w:lineRule="auto"/>
      </w:pPr>
      <w:r>
        <w:drawing>
          <wp:inline distT="0" distB="0" distL="0" distR="0">
            <wp:extent cx="5274310" cy="1717040"/>
            <wp:effectExtent l="0" t="0" r="2540" b="16510"/>
            <wp:docPr id="744038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38085" name="图片 1"/>
                    <pic:cNvPicPr>
                      <a:picLocks noChangeAspect="1"/>
                    </pic:cNvPicPr>
                  </pic:nvPicPr>
                  <pic:blipFill>
                    <a:blip r:embed="rId18"/>
                    <a:stretch>
                      <a:fillRect/>
                    </a:stretch>
                  </pic:blipFill>
                  <pic:spPr>
                    <a:xfrm>
                      <a:off x="0" y="0"/>
                      <a:ext cx="5274310" cy="1717040"/>
                    </a:xfrm>
                    <a:prstGeom prst="rect">
                      <a:avLst/>
                    </a:prstGeom>
                  </pic:spPr>
                </pic:pic>
              </a:graphicData>
            </a:graphic>
          </wp:inline>
        </w:drawing>
      </w:r>
    </w:p>
    <w:p>
      <w:pPr>
        <w:pStyle w:val="5"/>
        <w:spacing w:line="360" w:lineRule="auto"/>
      </w:pPr>
      <w:r>
        <w:rPr>
          <w:rFonts w:hint="eastAsia"/>
        </w:rPr>
        <w:t>骨科脊柱系统</w:t>
      </w:r>
    </w:p>
    <w:p>
      <w:pPr>
        <w:spacing w:line="360" w:lineRule="auto"/>
      </w:pPr>
      <w:r>
        <w:drawing>
          <wp:inline distT="0" distB="0" distL="0" distR="0">
            <wp:extent cx="5274310" cy="1993900"/>
            <wp:effectExtent l="0" t="0" r="2540" b="6350"/>
            <wp:docPr id="1056102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02287" name="图片 1"/>
                    <pic:cNvPicPr>
                      <a:picLocks noChangeAspect="1"/>
                    </pic:cNvPicPr>
                  </pic:nvPicPr>
                  <pic:blipFill>
                    <a:blip r:embed="rId19"/>
                    <a:stretch>
                      <a:fillRect/>
                    </a:stretch>
                  </pic:blipFill>
                  <pic:spPr>
                    <a:xfrm>
                      <a:off x="0" y="0"/>
                      <a:ext cx="5274310" cy="1993900"/>
                    </a:xfrm>
                    <a:prstGeom prst="rect">
                      <a:avLst/>
                    </a:prstGeom>
                  </pic:spPr>
                </pic:pic>
              </a:graphicData>
            </a:graphic>
          </wp:inline>
        </w:drawing>
      </w:r>
    </w:p>
    <w:p>
      <w:pPr>
        <w:spacing w:line="360" w:lineRule="auto"/>
      </w:pPr>
      <w:r>
        <w:rPr>
          <w:rFonts w:hint="eastAsia"/>
        </w:rPr>
        <w:t>功能说明：</w:t>
      </w:r>
    </w:p>
    <w:p>
      <w:pPr>
        <w:pStyle w:val="21"/>
        <w:numPr>
          <w:ilvl w:val="0"/>
          <w:numId w:val="4"/>
        </w:numPr>
        <w:spacing w:line="360" w:lineRule="auto"/>
        <w:ind w:firstLineChars="0"/>
        <w:rPr>
          <w:b/>
          <w:bCs/>
        </w:rPr>
      </w:pPr>
      <w:r>
        <w:rPr>
          <w:rFonts w:hint="eastAsia"/>
          <w:b/>
          <w:bCs/>
        </w:rPr>
        <w:t>同意</w:t>
      </w:r>
      <w:r>
        <w:rPr>
          <w:b/>
          <w:bCs/>
        </w:rPr>
        <w:br w:type="textWrapping"/>
      </w:r>
      <w:r>
        <w:rPr>
          <w:rFonts w:hint="eastAsia"/>
        </w:rPr>
        <w:t>产品委托配送状态为“待响应”状态时，可点击操作栏按钮进行响应，若</w:t>
      </w:r>
      <w:r>
        <w:rPr>
          <w:rFonts w:hint="eastAsia" w:ascii="Cambria" w:hAnsi="Cambria" w:cs="Cambria"/>
        </w:rPr>
        <w:t>接受</w:t>
      </w:r>
      <w:r>
        <w:rPr>
          <w:rFonts w:hint="eastAsia"/>
        </w:rPr>
        <w:t>该委托，点击【同意】即可建立产品配送关系；</w:t>
      </w:r>
    </w:p>
    <w:p>
      <w:pPr>
        <w:pStyle w:val="21"/>
        <w:numPr>
          <w:ilvl w:val="0"/>
          <w:numId w:val="4"/>
        </w:numPr>
        <w:spacing w:line="360" w:lineRule="auto"/>
        <w:ind w:firstLineChars="0"/>
        <w:rPr>
          <w:b/>
          <w:bCs/>
        </w:rPr>
      </w:pPr>
      <w:r>
        <w:rPr>
          <w:rFonts w:hint="eastAsia"/>
          <w:b/>
          <w:bCs/>
        </w:rPr>
        <w:t>拒绝</w:t>
      </w:r>
      <w:r>
        <w:rPr>
          <w:b/>
          <w:bCs/>
        </w:rPr>
        <w:br w:type="textWrapping"/>
      </w:r>
      <w:r>
        <w:rPr>
          <w:rFonts w:hint="eastAsia"/>
        </w:rPr>
        <w:t>产品委托配送状态为“待响应”状态时，可点击操作栏按钮进行响应，若不</w:t>
      </w:r>
      <w:r>
        <w:rPr>
          <w:rFonts w:hint="eastAsia" w:ascii="Cambria" w:hAnsi="Cambria" w:cs="Cambria"/>
        </w:rPr>
        <w:t>接受</w:t>
      </w:r>
      <w:r>
        <w:rPr>
          <w:rFonts w:hint="eastAsia"/>
        </w:rPr>
        <w:t>该委托，点击【拒绝】并填写拒绝理由拒绝该委托；</w:t>
      </w:r>
    </w:p>
    <w:p>
      <w:pPr>
        <w:pStyle w:val="21"/>
        <w:numPr>
          <w:ilvl w:val="0"/>
          <w:numId w:val="4"/>
        </w:numPr>
        <w:spacing w:line="360" w:lineRule="auto"/>
        <w:ind w:firstLineChars="0"/>
        <w:rPr>
          <w:b/>
          <w:bCs/>
        </w:rPr>
      </w:pPr>
      <w:r>
        <w:rPr>
          <w:rFonts w:hint="eastAsia"/>
          <w:b/>
          <w:bCs/>
        </w:rPr>
        <w:t>批量响应</w:t>
      </w:r>
    </w:p>
    <w:p>
      <w:pPr>
        <w:pStyle w:val="21"/>
        <w:spacing w:line="360" w:lineRule="auto"/>
        <w:ind w:left="420" w:firstLine="0" w:firstLineChars="0"/>
      </w:pPr>
      <w:r>
        <w:rPr>
          <w:rFonts w:hint="eastAsia"/>
        </w:rPr>
        <w:t>支持批量勾选待响应的委托产品，勾选后点击列表右上角【批量同意】或【批量拒绝】响应委托；</w:t>
      </w:r>
    </w:p>
    <w:p>
      <w:pPr>
        <w:pStyle w:val="5"/>
        <w:spacing w:line="360" w:lineRule="auto"/>
      </w:pPr>
      <w:r>
        <w:rPr>
          <w:rFonts w:hint="eastAsia"/>
        </w:rPr>
        <w:t>骨科脊柱部件</w:t>
      </w:r>
    </w:p>
    <w:p>
      <w:pPr>
        <w:spacing w:line="360" w:lineRule="auto"/>
      </w:pPr>
      <w:r>
        <w:drawing>
          <wp:inline distT="0" distB="0" distL="0" distR="0">
            <wp:extent cx="5274310" cy="2224405"/>
            <wp:effectExtent l="0" t="0" r="2540" b="4445"/>
            <wp:docPr id="799563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63459" name="图片 1"/>
                    <pic:cNvPicPr>
                      <a:picLocks noChangeAspect="1"/>
                    </pic:cNvPicPr>
                  </pic:nvPicPr>
                  <pic:blipFill>
                    <a:blip r:embed="rId20"/>
                    <a:stretch>
                      <a:fillRect/>
                    </a:stretch>
                  </pic:blipFill>
                  <pic:spPr>
                    <a:xfrm>
                      <a:off x="0" y="0"/>
                      <a:ext cx="5274310" cy="2224405"/>
                    </a:xfrm>
                    <a:prstGeom prst="rect">
                      <a:avLst/>
                    </a:prstGeom>
                  </pic:spPr>
                </pic:pic>
              </a:graphicData>
            </a:graphic>
          </wp:inline>
        </w:drawing>
      </w:r>
    </w:p>
    <w:p>
      <w:pPr>
        <w:spacing w:line="360" w:lineRule="auto"/>
      </w:pPr>
      <w:r>
        <w:rPr>
          <w:rFonts w:hint="eastAsia"/>
        </w:rPr>
        <w:t>功能说明：</w:t>
      </w:r>
    </w:p>
    <w:p>
      <w:pPr>
        <w:pStyle w:val="21"/>
        <w:numPr>
          <w:ilvl w:val="0"/>
          <w:numId w:val="5"/>
        </w:numPr>
        <w:spacing w:line="360" w:lineRule="auto"/>
        <w:ind w:firstLineChars="0"/>
        <w:rPr>
          <w:b/>
          <w:bCs/>
        </w:rPr>
      </w:pPr>
      <w:r>
        <w:rPr>
          <w:rFonts w:hint="eastAsia"/>
          <w:b/>
          <w:bCs/>
        </w:rPr>
        <w:t>同意</w:t>
      </w:r>
      <w:r>
        <w:rPr>
          <w:b/>
          <w:bCs/>
        </w:rPr>
        <w:br w:type="textWrapping"/>
      </w:r>
      <w:r>
        <w:rPr>
          <w:rFonts w:hint="eastAsia"/>
        </w:rPr>
        <w:t>产品委托配送状态为“待响应”状态时，可点击操作栏按钮进行响应，若</w:t>
      </w:r>
      <w:r>
        <w:rPr>
          <w:rFonts w:hint="eastAsia" w:ascii="Cambria" w:hAnsi="Cambria" w:cs="Cambria"/>
        </w:rPr>
        <w:t>接受</w:t>
      </w:r>
      <w:r>
        <w:rPr>
          <w:rFonts w:hint="eastAsia"/>
        </w:rPr>
        <w:t>该委托，点击【同意】即可建立产品配送关系；</w:t>
      </w:r>
    </w:p>
    <w:p>
      <w:pPr>
        <w:pStyle w:val="21"/>
        <w:numPr>
          <w:ilvl w:val="0"/>
          <w:numId w:val="5"/>
        </w:numPr>
        <w:spacing w:line="360" w:lineRule="auto"/>
        <w:ind w:firstLineChars="0"/>
        <w:rPr>
          <w:b/>
          <w:bCs/>
        </w:rPr>
      </w:pPr>
      <w:r>
        <w:rPr>
          <w:rFonts w:hint="eastAsia"/>
          <w:b/>
          <w:bCs/>
        </w:rPr>
        <w:t>拒绝</w:t>
      </w:r>
      <w:r>
        <w:rPr>
          <w:b/>
          <w:bCs/>
        </w:rPr>
        <w:br w:type="textWrapping"/>
      </w:r>
      <w:r>
        <w:rPr>
          <w:rFonts w:hint="eastAsia"/>
        </w:rPr>
        <w:t>产品委托配送状态为“待响应”状态时，可点击操作栏按钮进行响应，若不</w:t>
      </w:r>
      <w:r>
        <w:rPr>
          <w:rFonts w:hint="eastAsia" w:ascii="Cambria" w:hAnsi="Cambria" w:cs="Cambria"/>
        </w:rPr>
        <w:t>接受</w:t>
      </w:r>
      <w:r>
        <w:rPr>
          <w:rFonts w:hint="eastAsia"/>
        </w:rPr>
        <w:t>该委托，点击【拒绝】并填写拒绝理由拒绝该委托；</w:t>
      </w:r>
    </w:p>
    <w:p>
      <w:pPr>
        <w:pStyle w:val="21"/>
        <w:numPr>
          <w:ilvl w:val="0"/>
          <w:numId w:val="5"/>
        </w:numPr>
        <w:spacing w:line="360" w:lineRule="auto"/>
        <w:ind w:firstLineChars="0"/>
        <w:rPr>
          <w:b/>
          <w:bCs/>
        </w:rPr>
      </w:pPr>
      <w:r>
        <w:rPr>
          <w:rFonts w:hint="eastAsia"/>
          <w:b/>
          <w:bCs/>
        </w:rPr>
        <w:t>批量响应</w:t>
      </w:r>
      <w:r>
        <w:rPr>
          <w:b/>
          <w:bCs/>
        </w:rPr>
        <w:br w:type="textWrapping"/>
      </w:r>
      <w:r>
        <w:rPr>
          <w:rFonts w:hint="eastAsia"/>
        </w:rPr>
        <w:t>支持批量勾选待响应的委托产品，点击列表右上角【批量同意】或【批量拒绝】响应委托；</w:t>
      </w:r>
    </w:p>
    <w:p>
      <w:pPr>
        <w:pStyle w:val="3"/>
        <w:spacing w:line="360" w:lineRule="auto"/>
      </w:pPr>
      <w:bookmarkStart w:id="13" w:name="_Toc141522171"/>
      <w:r>
        <w:rPr>
          <w:rFonts w:hint="eastAsia"/>
        </w:rPr>
        <w:t>订单管理</w:t>
      </w:r>
      <w:bookmarkEnd w:id="13"/>
    </w:p>
    <w:p>
      <w:pPr>
        <w:spacing w:line="360" w:lineRule="auto"/>
      </w:pPr>
      <w:r>
        <w:rPr>
          <w:rFonts w:hint="eastAsia"/>
        </w:rPr>
        <w:t>点击进入耗材交易模块中点击左侧菜单【订单管理】—【订单明细管理】进入订单明细管理页面，在该页面可查看所有配送企业为本企业的订单数据，如下图所示：</w:t>
      </w:r>
    </w:p>
    <w:p>
      <w:pPr>
        <w:spacing w:line="360" w:lineRule="auto"/>
      </w:pPr>
      <w:r>
        <w:drawing>
          <wp:inline distT="0" distB="0" distL="0" distR="0">
            <wp:extent cx="5274310" cy="2546350"/>
            <wp:effectExtent l="0" t="0" r="2540" b="6350"/>
            <wp:docPr id="1657536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36846" name="图片 1"/>
                    <pic:cNvPicPr>
                      <a:picLocks noChangeAspect="1"/>
                    </pic:cNvPicPr>
                  </pic:nvPicPr>
                  <pic:blipFill>
                    <a:blip r:embed="rId21"/>
                    <a:stretch>
                      <a:fillRect/>
                    </a:stretch>
                  </pic:blipFill>
                  <pic:spPr>
                    <a:xfrm>
                      <a:off x="0" y="0"/>
                      <a:ext cx="5274310" cy="2546350"/>
                    </a:xfrm>
                    <a:prstGeom prst="rect">
                      <a:avLst/>
                    </a:prstGeom>
                  </pic:spPr>
                </pic:pic>
              </a:graphicData>
            </a:graphic>
          </wp:inline>
        </w:drawing>
      </w:r>
    </w:p>
    <w:p>
      <w:pPr>
        <w:pStyle w:val="4"/>
      </w:pPr>
      <w:bookmarkStart w:id="14" w:name="_Toc141522172"/>
      <w:r>
        <w:rPr>
          <w:rFonts w:hint="eastAsia"/>
        </w:rPr>
        <w:t>骨科脊柱系统</w:t>
      </w:r>
      <w:bookmarkEnd w:id="14"/>
    </w:p>
    <w:p>
      <w:r>
        <w:drawing>
          <wp:inline distT="0" distB="0" distL="0" distR="0">
            <wp:extent cx="5274310" cy="1824355"/>
            <wp:effectExtent l="0" t="0" r="2540" b="4445"/>
            <wp:docPr id="1347984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84654" name="图片 1"/>
                    <pic:cNvPicPr>
                      <a:picLocks noChangeAspect="1"/>
                    </pic:cNvPicPr>
                  </pic:nvPicPr>
                  <pic:blipFill>
                    <a:blip r:embed="rId22"/>
                    <a:stretch>
                      <a:fillRect/>
                    </a:stretch>
                  </pic:blipFill>
                  <pic:spPr>
                    <a:xfrm>
                      <a:off x="0" y="0"/>
                      <a:ext cx="5274310" cy="1824355"/>
                    </a:xfrm>
                    <a:prstGeom prst="rect">
                      <a:avLst/>
                    </a:prstGeom>
                  </pic:spPr>
                </pic:pic>
              </a:graphicData>
            </a:graphic>
          </wp:inline>
        </w:drawing>
      </w:r>
    </w:p>
    <w:p>
      <w:pPr>
        <w:spacing w:line="360" w:lineRule="auto"/>
      </w:pPr>
      <w:r>
        <w:rPr>
          <w:rFonts w:hint="eastAsia"/>
        </w:rPr>
        <w:t>功能说明：</w:t>
      </w:r>
    </w:p>
    <w:p>
      <w:pPr>
        <w:pStyle w:val="21"/>
        <w:numPr>
          <w:ilvl w:val="0"/>
          <w:numId w:val="7"/>
        </w:numPr>
        <w:spacing w:line="360" w:lineRule="auto"/>
        <w:ind w:firstLineChars="0"/>
        <w:rPr>
          <w:b/>
          <w:bCs/>
        </w:rPr>
      </w:pPr>
      <w:r>
        <w:rPr>
          <w:rFonts w:hint="eastAsia"/>
          <w:b/>
          <w:bCs/>
        </w:rPr>
        <w:t>查看明细</w:t>
      </w:r>
    </w:p>
    <w:p>
      <w:pPr>
        <w:spacing w:line="360" w:lineRule="auto"/>
        <w:ind w:left="420" w:firstLine="0"/>
      </w:pPr>
      <w:r>
        <w:rPr>
          <w:rFonts w:hint="eastAsia"/>
        </w:rPr>
        <w:t>医院提交订单后可在【待发货】页面查看到该采购数据，点击【查看】按钮查看医疗机构采购的该系统下的部件详细信息；</w:t>
      </w:r>
    </w:p>
    <w:p>
      <w:pPr>
        <w:pStyle w:val="21"/>
        <w:numPr>
          <w:ilvl w:val="0"/>
          <w:numId w:val="7"/>
        </w:numPr>
        <w:spacing w:line="360" w:lineRule="auto"/>
        <w:ind w:firstLineChars="0"/>
        <w:rPr>
          <w:b/>
          <w:bCs/>
        </w:rPr>
      </w:pPr>
      <w:r>
        <w:rPr>
          <w:rFonts w:hint="eastAsia"/>
          <w:b/>
          <w:bCs/>
        </w:rPr>
        <w:t>确认发货</w:t>
      </w:r>
    </w:p>
    <w:p>
      <w:pPr>
        <w:pStyle w:val="21"/>
        <w:spacing w:line="360" w:lineRule="auto"/>
        <w:ind w:left="420" w:firstLine="0" w:firstLineChars="0"/>
      </w:pPr>
      <w:r>
        <w:rPr>
          <w:rFonts w:hint="eastAsia"/>
        </w:rPr>
        <w:t>医院提交订单后可在【待发货】页面查看到该采购数据，点击【确认发货】即可完成整套发货，批次号为必填项，确认发货后该明细变为【待收货】，医院确定收货后可点击【已收货】进入已收货页面进行查看；</w:t>
      </w:r>
    </w:p>
    <w:p>
      <w:pPr>
        <w:pStyle w:val="21"/>
        <w:spacing w:line="360" w:lineRule="auto"/>
        <w:ind w:left="420" w:firstLine="0" w:firstLineChars="0"/>
      </w:pPr>
    </w:p>
    <w:p>
      <w:pPr>
        <w:pStyle w:val="21"/>
        <w:numPr>
          <w:ilvl w:val="0"/>
          <w:numId w:val="7"/>
        </w:numPr>
        <w:spacing w:line="360" w:lineRule="auto"/>
        <w:ind w:firstLineChars="0"/>
        <w:rPr>
          <w:b/>
          <w:bCs/>
        </w:rPr>
      </w:pPr>
      <w:r>
        <w:rPr>
          <w:rFonts w:hint="eastAsia"/>
          <w:b/>
          <w:bCs/>
        </w:rPr>
        <w:t>批量发货</w:t>
      </w:r>
    </w:p>
    <w:p>
      <w:pPr>
        <w:pStyle w:val="21"/>
        <w:spacing w:line="360" w:lineRule="auto"/>
        <w:ind w:left="420" w:firstLine="0" w:firstLineChars="0"/>
      </w:pPr>
      <w:r>
        <w:rPr>
          <w:rFonts w:hint="eastAsia"/>
        </w:rPr>
        <w:t>支持批量发货，勾选需要发货的明细，点击列表右上角【批量发货】，所有勾选的订单明细则全部变为待收货；</w:t>
      </w:r>
    </w:p>
    <w:p>
      <w:pPr>
        <w:pStyle w:val="21"/>
        <w:numPr>
          <w:ilvl w:val="0"/>
          <w:numId w:val="7"/>
        </w:numPr>
        <w:spacing w:line="360" w:lineRule="auto"/>
        <w:ind w:firstLineChars="0"/>
        <w:rPr>
          <w:b/>
          <w:bCs/>
        </w:rPr>
      </w:pPr>
      <w:r>
        <w:rPr>
          <w:rFonts w:hint="eastAsia"/>
          <w:b/>
          <w:bCs/>
        </w:rPr>
        <w:t>拒绝发货</w:t>
      </w:r>
    </w:p>
    <w:p>
      <w:pPr>
        <w:pStyle w:val="21"/>
        <w:spacing w:line="360" w:lineRule="auto"/>
        <w:ind w:left="420" w:firstLine="0" w:firstLineChars="0"/>
      </w:pPr>
      <w:r>
        <w:rPr>
          <w:rFonts w:hint="eastAsia"/>
        </w:rPr>
        <w:t>点击明细操作栏【拒绝发货】并填写拒绝发货理由即可拒绝本条明细发货，提交后该明细变为拒绝发货状态，点击页面上方【拒绝发货】标签页即可查看；</w:t>
      </w:r>
    </w:p>
    <w:p>
      <w:pPr>
        <w:pStyle w:val="4"/>
      </w:pPr>
      <w:bookmarkStart w:id="15" w:name="_Toc141522173"/>
      <w:r>
        <w:rPr>
          <w:rFonts w:hint="eastAsia"/>
        </w:rPr>
        <w:t>骨科脊柱部件</w:t>
      </w:r>
      <w:bookmarkEnd w:id="15"/>
    </w:p>
    <w:p>
      <w:r>
        <w:drawing>
          <wp:inline distT="0" distB="0" distL="0" distR="0">
            <wp:extent cx="5274310" cy="1598295"/>
            <wp:effectExtent l="0" t="0" r="2540" b="1905"/>
            <wp:docPr id="1334052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52349" name="图片 1"/>
                    <pic:cNvPicPr>
                      <a:picLocks noChangeAspect="1"/>
                    </pic:cNvPicPr>
                  </pic:nvPicPr>
                  <pic:blipFill>
                    <a:blip r:embed="rId23"/>
                    <a:stretch>
                      <a:fillRect/>
                    </a:stretch>
                  </pic:blipFill>
                  <pic:spPr>
                    <a:xfrm>
                      <a:off x="0" y="0"/>
                      <a:ext cx="5274310" cy="1598295"/>
                    </a:xfrm>
                    <a:prstGeom prst="rect">
                      <a:avLst/>
                    </a:prstGeom>
                  </pic:spPr>
                </pic:pic>
              </a:graphicData>
            </a:graphic>
          </wp:inline>
        </w:drawing>
      </w:r>
    </w:p>
    <w:p>
      <w:pPr>
        <w:spacing w:line="360" w:lineRule="auto"/>
      </w:pPr>
      <w:r>
        <w:rPr>
          <w:rFonts w:hint="eastAsia"/>
        </w:rPr>
        <w:t>功能说明：</w:t>
      </w:r>
    </w:p>
    <w:p>
      <w:pPr>
        <w:pStyle w:val="21"/>
        <w:numPr>
          <w:ilvl w:val="0"/>
          <w:numId w:val="8"/>
        </w:numPr>
        <w:spacing w:line="360" w:lineRule="auto"/>
        <w:ind w:firstLineChars="0"/>
        <w:rPr>
          <w:b/>
          <w:bCs/>
        </w:rPr>
      </w:pPr>
      <w:r>
        <w:rPr>
          <w:rFonts w:hint="eastAsia"/>
          <w:b/>
          <w:bCs/>
        </w:rPr>
        <w:t>确认发货</w:t>
      </w:r>
    </w:p>
    <w:p>
      <w:pPr>
        <w:pStyle w:val="21"/>
        <w:spacing w:line="360" w:lineRule="auto"/>
        <w:ind w:left="420" w:firstLine="0" w:firstLineChars="0"/>
      </w:pPr>
      <w:r>
        <w:rPr>
          <w:rFonts w:hint="eastAsia"/>
        </w:rPr>
        <w:t>医院提交订单后可在【待发货】页面查看到该采购数据，点击【确认发货】即可完成发货，批次号为必填项，确认发货后该明细变为【待收货】，医院确定收货后可点击【已收货】进入已收货页面进行查看；</w:t>
      </w:r>
    </w:p>
    <w:p>
      <w:pPr>
        <w:pStyle w:val="21"/>
        <w:numPr>
          <w:ilvl w:val="0"/>
          <w:numId w:val="8"/>
        </w:numPr>
        <w:spacing w:line="360" w:lineRule="auto"/>
        <w:ind w:firstLineChars="0"/>
        <w:rPr>
          <w:b/>
          <w:bCs/>
        </w:rPr>
      </w:pPr>
      <w:r>
        <w:rPr>
          <w:rFonts w:hint="eastAsia"/>
          <w:b/>
          <w:bCs/>
        </w:rPr>
        <w:t>拒绝发货</w:t>
      </w:r>
    </w:p>
    <w:p>
      <w:pPr>
        <w:pStyle w:val="21"/>
        <w:spacing w:line="360" w:lineRule="auto"/>
        <w:ind w:left="420" w:firstLine="0" w:firstLineChars="0"/>
      </w:pPr>
      <w:r>
        <w:rPr>
          <w:rFonts w:hint="eastAsia"/>
        </w:rPr>
        <w:t>点击明细操作栏【拒绝发货】并填写拒绝发货理由即可拒绝本条明细发货，提交后该明细变为拒绝发货状态，点击页面上方【拒绝发货】即可查看；</w:t>
      </w:r>
    </w:p>
    <w:p>
      <w:pPr>
        <w:pStyle w:val="3"/>
      </w:pPr>
      <w:bookmarkStart w:id="16" w:name="_Toc141522174"/>
      <w:r>
        <w:rPr>
          <w:rFonts w:hint="eastAsia"/>
        </w:rPr>
        <w:t>退货管理</w:t>
      </w:r>
      <w:bookmarkEnd w:id="16"/>
    </w:p>
    <w:p>
      <w:pPr>
        <w:spacing w:line="360" w:lineRule="auto"/>
      </w:pPr>
      <w:r>
        <w:rPr>
          <w:rFonts w:hint="eastAsia"/>
        </w:rPr>
        <w:t>点击左侧菜单【退货管理】—【退货管理】进入退货管理页面，在该页面可查看所有本企业的退货数据，如下图所示：</w:t>
      </w:r>
    </w:p>
    <w:p>
      <w:pPr>
        <w:spacing w:line="360" w:lineRule="auto"/>
      </w:pPr>
      <w:r>
        <w:drawing>
          <wp:inline distT="0" distB="0" distL="0" distR="0">
            <wp:extent cx="5274310" cy="1607185"/>
            <wp:effectExtent l="0" t="0" r="2540" b="12065"/>
            <wp:docPr id="1931588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88983" name="图片 1"/>
                    <pic:cNvPicPr>
                      <a:picLocks noChangeAspect="1"/>
                    </pic:cNvPicPr>
                  </pic:nvPicPr>
                  <pic:blipFill>
                    <a:blip r:embed="rId24"/>
                    <a:stretch>
                      <a:fillRect/>
                    </a:stretch>
                  </pic:blipFill>
                  <pic:spPr>
                    <a:xfrm>
                      <a:off x="0" y="0"/>
                      <a:ext cx="5274310" cy="1607185"/>
                    </a:xfrm>
                    <a:prstGeom prst="rect">
                      <a:avLst/>
                    </a:prstGeom>
                  </pic:spPr>
                </pic:pic>
              </a:graphicData>
            </a:graphic>
          </wp:inline>
        </w:drawing>
      </w:r>
    </w:p>
    <w:p>
      <w:pPr>
        <w:pStyle w:val="4"/>
      </w:pPr>
      <w:bookmarkStart w:id="17" w:name="_Toc141522175"/>
      <w:r>
        <w:rPr>
          <w:rFonts w:hint="eastAsia"/>
        </w:rPr>
        <w:t>骨科脊柱系统</w:t>
      </w:r>
      <w:bookmarkEnd w:id="17"/>
    </w:p>
    <w:p>
      <w:r>
        <w:drawing>
          <wp:inline distT="0" distB="0" distL="0" distR="0">
            <wp:extent cx="5274310" cy="1727835"/>
            <wp:effectExtent l="0" t="0" r="2540" b="5715"/>
            <wp:docPr id="984432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32898" name="图片 1"/>
                    <pic:cNvPicPr>
                      <a:picLocks noChangeAspect="1"/>
                    </pic:cNvPicPr>
                  </pic:nvPicPr>
                  <pic:blipFill>
                    <a:blip r:embed="rId25"/>
                    <a:stretch>
                      <a:fillRect/>
                    </a:stretch>
                  </pic:blipFill>
                  <pic:spPr>
                    <a:xfrm>
                      <a:off x="0" y="0"/>
                      <a:ext cx="5274310" cy="1727835"/>
                    </a:xfrm>
                    <a:prstGeom prst="rect">
                      <a:avLst/>
                    </a:prstGeom>
                  </pic:spPr>
                </pic:pic>
              </a:graphicData>
            </a:graphic>
          </wp:inline>
        </w:drawing>
      </w:r>
    </w:p>
    <w:p>
      <w:pPr>
        <w:spacing w:line="360" w:lineRule="auto"/>
      </w:pPr>
      <w:r>
        <w:rPr>
          <w:rFonts w:hint="eastAsia"/>
        </w:rPr>
        <w:t>功能说明：</w:t>
      </w:r>
    </w:p>
    <w:p>
      <w:pPr>
        <w:pStyle w:val="21"/>
        <w:numPr>
          <w:ilvl w:val="0"/>
          <w:numId w:val="9"/>
        </w:numPr>
        <w:spacing w:line="360" w:lineRule="auto"/>
        <w:ind w:firstLineChars="0"/>
        <w:rPr>
          <w:b/>
          <w:bCs/>
        </w:rPr>
      </w:pPr>
      <w:r>
        <w:rPr>
          <w:rFonts w:hint="eastAsia"/>
          <w:b/>
          <w:bCs/>
        </w:rPr>
        <w:t>待确认</w:t>
      </w:r>
      <w:r>
        <w:rPr>
          <w:b/>
          <w:bCs/>
        </w:rPr>
        <w:br w:type="textWrapping"/>
      </w:r>
      <w:r>
        <w:rPr>
          <w:rFonts w:hint="eastAsia"/>
        </w:rPr>
        <w:t>进入待确认页面可查看医院发起退货且还未处理的退货数据，点击【同意】则退货完成，点击【拒绝】需填写拒绝理由提交后退货结束，本次退货失败；</w:t>
      </w:r>
    </w:p>
    <w:p>
      <w:pPr>
        <w:pStyle w:val="21"/>
        <w:numPr>
          <w:ilvl w:val="0"/>
          <w:numId w:val="9"/>
        </w:numPr>
        <w:spacing w:line="360" w:lineRule="auto"/>
        <w:ind w:firstLineChars="0"/>
        <w:rPr>
          <w:b/>
          <w:bCs/>
        </w:rPr>
      </w:pPr>
      <w:r>
        <w:rPr>
          <w:rFonts w:hint="eastAsia"/>
          <w:b/>
          <w:bCs/>
        </w:rPr>
        <w:t>已同意</w:t>
      </w:r>
    </w:p>
    <w:p>
      <w:pPr>
        <w:pStyle w:val="21"/>
        <w:spacing w:line="360" w:lineRule="auto"/>
        <w:ind w:left="420" w:firstLine="0" w:firstLineChars="0"/>
      </w:pPr>
      <w:r>
        <w:rPr>
          <w:rFonts w:hint="eastAsia"/>
        </w:rPr>
        <w:t>进入已同意页面，可查看所有同意退货，退货成功的订单明细；</w:t>
      </w:r>
    </w:p>
    <w:p>
      <w:pPr>
        <w:pStyle w:val="21"/>
        <w:numPr>
          <w:ilvl w:val="0"/>
          <w:numId w:val="9"/>
        </w:numPr>
        <w:spacing w:line="360" w:lineRule="auto"/>
        <w:ind w:firstLineChars="0"/>
      </w:pPr>
      <w:r>
        <w:rPr>
          <w:rFonts w:hint="eastAsia"/>
          <w:b/>
          <w:bCs/>
        </w:rPr>
        <w:t>已拒绝</w:t>
      </w:r>
      <w:r>
        <w:rPr>
          <w:b/>
          <w:bCs/>
        </w:rPr>
        <w:br w:type="textWrapping"/>
      </w:r>
      <w:r>
        <w:rPr>
          <w:rFonts w:hint="eastAsia"/>
        </w:rPr>
        <w:t>进入已拒绝页面，可查看所有拒绝退货，退货失败的订单明细；</w:t>
      </w:r>
    </w:p>
    <w:p>
      <w:pPr>
        <w:pStyle w:val="4"/>
      </w:pPr>
      <w:bookmarkStart w:id="18" w:name="_Toc141522176"/>
      <w:r>
        <w:rPr>
          <w:rFonts w:hint="eastAsia"/>
        </w:rPr>
        <w:t>骨科脊柱部件</w:t>
      </w:r>
      <w:bookmarkEnd w:id="18"/>
    </w:p>
    <w:p>
      <w:r>
        <w:drawing>
          <wp:inline distT="0" distB="0" distL="0" distR="0">
            <wp:extent cx="5274310" cy="1593850"/>
            <wp:effectExtent l="0" t="0" r="2540" b="6350"/>
            <wp:docPr id="1035272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72838" name="图片 1"/>
                    <pic:cNvPicPr>
                      <a:picLocks noChangeAspect="1"/>
                    </pic:cNvPicPr>
                  </pic:nvPicPr>
                  <pic:blipFill>
                    <a:blip r:embed="rId26"/>
                    <a:stretch>
                      <a:fillRect/>
                    </a:stretch>
                  </pic:blipFill>
                  <pic:spPr>
                    <a:xfrm>
                      <a:off x="0" y="0"/>
                      <a:ext cx="5274310" cy="1593850"/>
                    </a:xfrm>
                    <a:prstGeom prst="rect">
                      <a:avLst/>
                    </a:prstGeom>
                  </pic:spPr>
                </pic:pic>
              </a:graphicData>
            </a:graphic>
          </wp:inline>
        </w:drawing>
      </w:r>
    </w:p>
    <w:p>
      <w:pPr>
        <w:spacing w:line="360" w:lineRule="auto"/>
      </w:pPr>
      <w:r>
        <w:rPr>
          <w:rFonts w:hint="eastAsia"/>
        </w:rPr>
        <w:t>功能说明：</w:t>
      </w:r>
    </w:p>
    <w:p>
      <w:pPr>
        <w:pStyle w:val="21"/>
        <w:numPr>
          <w:ilvl w:val="0"/>
          <w:numId w:val="10"/>
        </w:numPr>
        <w:spacing w:line="360" w:lineRule="auto"/>
        <w:ind w:firstLineChars="0"/>
        <w:rPr>
          <w:b/>
          <w:bCs/>
        </w:rPr>
      </w:pPr>
      <w:r>
        <w:rPr>
          <w:rFonts w:hint="eastAsia"/>
          <w:b/>
          <w:bCs/>
        </w:rPr>
        <w:t>待确认</w:t>
      </w:r>
      <w:r>
        <w:rPr>
          <w:b/>
          <w:bCs/>
        </w:rPr>
        <w:br w:type="textWrapping"/>
      </w:r>
      <w:r>
        <w:rPr>
          <w:rFonts w:hint="eastAsia"/>
        </w:rPr>
        <w:t>进入待确认页面可查看医院发起退货且还未处理的退货数据，点击【同意】则退货完成，点击【拒绝】需填写拒绝理由提交后退货结束，本次退货失败；</w:t>
      </w:r>
    </w:p>
    <w:p>
      <w:pPr>
        <w:pStyle w:val="21"/>
        <w:numPr>
          <w:ilvl w:val="0"/>
          <w:numId w:val="10"/>
        </w:numPr>
        <w:spacing w:line="360" w:lineRule="auto"/>
        <w:ind w:firstLineChars="0"/>
        <w:rPr>
          <w:b/>
          <w:bCs/>
        </w:rPr>
      </w:pPr>
      <w:r>
        <w:rPr>
          <w:rFonts w:hint="eastAsia"/>
          <w:b/>
          <w:bCs/>
        </w:rPr>
        <w:t>已同意</w:t>
      </w:r>
    </w:p>
    <w:p>
      <w:pPr>
        <w:pStyle w:val="21"/>
        <w:spacing w:line="360" w:lineRule="auto"/>
        <w:ind w:left="420" w:firstLine="0" w:firstLineChars="0"/>
      </w:pPr>
      <w:r>
        <w:rPr>
          <w:rFonts w:hint="eastAsia"/>
        </w:rPr>
        <w:t>进入已同意页面，可查看所有同意退货，退货成功的订单明细；</w:t>
      </w:r>
    </w:p>
    <w:p>
      <w:pPr>
        <w:pStyle w:val="21"/>
        <w:numPr>
          <w:ilvl w:val="0"/>
          <w:numId w:val="10"/>
        </w:numPr>
        <w:spacing w:line="360" w:lineRule="auto"/>
        <w:ind w:firstLineChars="0"/>
      </w:pPr>
      <w:r>
        <w:rPr>
          <w:rFonts w:hint="eastAsia"/>
          <w:b/>
          <w:bCs/>
        </w:rPr>
        <w:t>已拒绝</w:t>
      </w:r>
      <w:r>
        <w:rPr>
          <w:b/>
          <w:bCs/>
        </w:rPr>
        <w:br w:type="textWrapping"/>
      </w:r>
      <w:r>
        <w:rPr>
          <w:rFonts w:hint="eastAsia"/>
        </w:rPr>
        <w:t>进入已拒绝页面，可查看所有拒绝退货，退货失败的订单明细；</w:t>
      </w:r>
    </w:p>
    <w:p>
      <w:pPr>
        <w:spacing w:line="360" w:lineRule="auto"/>
      </w:pPr>
    </w:p>
    <w:p>
      <w:pPr>
        <w:spacing w:line="360" w:lineRule="auto"/>
      </w:pPr>
    </w:p>
    <w:p>
      <w:pPr>
        <w:pStyle w:val="3"/>
        <w:spacing w:line="360" w:lineRule="auto"/>
      </w:pPr>
      <w:bookmarkStart w:id="19" w:name="_Toc141522177"/>
      <w:r>
        <w:rPr>
          <w:rFonts w:hint="eastAsia"/>
        </w:rPr>
        <w:t>合同管理</w:t>
      </w:r>
      <w:bookmarkEnd w:id="19"/>
    </w:p>
    <w:p>
      <w:pPr>
        <w:spacing w:line="360" w:lineRule="auto"/>
      </w:pPr>
      <w:r>
        <w:rPr>
          <w:rFonts w:hint="eastAsia"/>
        </w:rPr>
        <w:t>医疗机构将骨科脊柱系统产品加入本院目录后，需完成三方协议签订后才能进行采购，医疗机构发起三方协议签订提交且生产企业确认后，本企业可在【合同管理】中参与三方协议签订，合同管理页面如下图所示：</w:t>
      </w:r>
    </w:p>
    <w:p>
      <w:pPr>
        <w:spacing w:line="360" w:lineRule="auto"/>
      </w:pPr>
      <w:r>
        <w:drawing>
          <wp:inline distT="0" distB="0" distL="0" distR="0">
            <wp:extent cx="5274310" cy="1112520"/>
            <wp:effectExtent l="0" t="0" r="2540" b="11430"/>
            <wp:docPr id="1115669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69131" name="图片 1"/>
                    <pic:cNvPicPr>
                      <a:picLocks noChangeAspect="1"/>
                    </pic:cNvPicPr>
                  </pic:nvPicPr>
                  <pic:blipFill>
                    <a:blip r:embed="rId27"/>
                    <a:stretch>
                      <a:fillRect/>
                    </a:stretch>
                  </pic:blipFill>
                  <pic:spPr>
                    <a:xfrm>
                      <a:off x="0" y="0"/>
                      <a:ext cx="5274310" cy="1112520"/>
                    </a:xfrm>
                    <a:prstGeom prst="rect">
                      <a:avLst/>
                    </a:prstGeom>
                  </pic:spPr>
                </pic:pic>
              </a:graphicData>
            </a:graphic>
          </wp:inline>
        </w:drawing>
      </w:r>
    </w:p>
    <w:p>
      <w:pPr>
        <w:spacing w:line="360" w:lineRule="auto"/>
      </w:pPr>
      <w:r>
        <w:rPr>
          <w:rFonts w:hint="eastAsia"/>
        </w:rPr>
        <w:t>功能说明：</w:t>
      </w:r>
    </w:p>
    <w:p>
      <w:pPr>
        <w:pStyle w:val="21"/>
        <w:numPr>
          <w:ilvl w:val="0"/>
          <w:numId w:val="6"/>
        </w:numPr>
        <w:spacing w:line="360" w:lineRule="auto"/>
        <w:ind w:firstLineChars="0"/>
      </w:pPr>
      <w:r>
        <w:rPr>
          <w:rFonts w:hint="eastAsia"/>
          <w:b/>
          <w:bCs/>
        </w:rPr>
        <w:t>拒绝</w:t>
      </w:r>
    </w:p>
    <w:p>
      <w:pPr>
        <w:pStyle w:val="21"/>
        <w:spacing w:line="360" w:lineRule="auto"/>
        <w:ind w:left="420" w:firstLine="0" w:firstLineChars="0"/>
      </w:pPr>
      <w:r>
        <w:rPr>
          <w:rFonts w:hint="eastAsia"/>
        </w:rPr>
        <w:t>若不同意医院发起的三方协议，则可点击【拒绝】并填写拒绝理由；</w:t>
      </w:r>
    </w:p>
    <w:p>
      <w:pPr>
        <w:pStyle w:val="21"/>
        <w:numPr>
          <w:ilvl w:val="0"/>
          <w:numId w:val="6"/>
        </w:numPr>
        <w:spacing w:line="360" w:lineRule="auto"/>
        <w:ind w:firstLineChars="0"/>
      </w:pPr>
      <w:r>
        <w:rPr>
          <w:rFonts w:hint="eastAsia"/>
          <w:b/>
          <w:bCs/>
        </w:rPr>
        <w:t>确认</w:t>
      </w:r>
    </w:p>
    <w:p>
      <w:pPr>
        <w:pStyle w:val="21"/>
        <w:spacing w:line="360" w:lineRule="auto"/>
        <w:ind w:left="420" w:firstLine="0" w:firstLineChars="0"/>
      </w:pPr>
      <w:r>
        <w:rPr>
          <w:rFonts w:hint="eastAsia"/>
        </w:rPr>
        <w:t>若同意签订医院发起的三方协议，点击操作栏【确认】按钮，系统跳转至三方协议签订详情页，在页面最下方填写联系人以及联系人方式后，点击【确认】按钮进行提交，医院便可对该系统进行采购。</w:t>
      </w:r>
    </w:p>
    <w:p>
      <w:pPr>
        <w:pStyle w:val="21"/>
        <w:spacing w:line="360" w:lineRule="auto"/>
        <w:ind w:left="420" w:firstLine="0" w:firstLineChars="0"/>
      </w:pPr>
      <w:r>
        <w:drawing>
          <wp:inline distT="0" distB="0" distL="0" distR="0">
            <wp:extent cx="5274310" cy="2967355"/>
            <wp:effectExtent l="0" t="0" r="2540" b="4445"/>
            <wp:docPr id="1934806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06382" name="图片 1"/>
                    <pic:cNvPicPr>
                      <a:picLocks noChangeAspect="1"/>
                    </pic:cNvPicPr>
                  </pic:nvPicPr>
                  <pic:blipFill>
                    <a:blip r:embed="rId28"/>
                    <a:stretch>
                      <a:fillRect/>
                    </a:stretch>
                  </pic:blipFill>
                  <pic:spPr>
                    <a:xfrm>
                      <a:off x="0" y="0"/>
                      <a:ext cx="5274310" cy="2967355"/>
                    </a:xfrm>
                    <a:prstGeom prst="rect">
                      <a:avLst/>
                    </a:prstGeom>
                  </pic:spPr>
                </pic:pic>
              </a:graphicData>
            </a:graphic>
          </wp:inline>
        </w:drawing>
      </w:r>
    </w:p>
    <w:p>
      <w:pPr>
        <w:pStyle w:val="21"/>
        <w:spacing w:line="360" w:lineRule="auto"/>
        <w:ind w:left="420" w:firstLine="0" w:firstLineChars="0"/>
      </w:pPr>
    </w:p>
    <w:p>
      <w:pPr>
        <w:pStyle w:val="21"/>
        <w:numPr>
          <w:ilvl w:val="0"/>
          <w:numId w:val="6"/>
        </w:numPr>
        <w:spacing w:line="360" w:lineRule="auto"/>
        <w:ind w:firstLineChars="0"/>
        <w:rPr>
          <w:b/>
          <w:bCs/>
        </w:rPr>
      </w:pPr>
      <w:r>
        <w:rPr>
          <w:rFonts w:hint="eastAsia"/>
          <w:b/>
          <w:bCs/>
        </w:rPr>
        <w:t>批量确认作废</w:t>
      </w:r>
    </w:p>
    <w:p>
      <w:pPr>
        <w:pStyle w:val="21"/>
        <w:spacing w:line="360" w:lineRule="auto"/>
        <w:ind w:left="420" w:firstLine="0" w:firstLineChars="0"/>
        <w:rPr>
          <w:b/>
          <w:bCs/>
        </w:rPr>
      </w:pPr>
      <w:r>
        <w:rPr>
          <w:rFonts w:hint="eastAsia"/>
        </w:rPr>
        <w:t>合同签订完成后，合同状态为生效中时，医院端提交该合同撤废申请且待生产企业同意后，点击该合同左方勾选框，若同意可点击【</w:t>
      </w:r>
      <w:r>
        <w:rPr>
          <w:rFonts w:hint="eastAsia"/>
          <w:b/>
          <w:bCs/>
        </w:rPr>
        <w:t>批量确认作废</w:t>
      </w:r>
      <w:r>
        <w:rPr>
          <w:rFonts w:hint="eastAsia"/>
        </w:rPr>
        <w:t>】按钮并填写撤废意见;</w:t>
      </w:r>
    </w:p>
    <w:p>
      <w:pPr>
        <w:pStyle w:val="21"/>
        <w:numPr>
          <w:ilvl w:val="0"/>
          <w:numId w:val="6"/>
        </w:numPr>
        <w:spacing w:line="360" w:lineRule="auto"/>
        <w:ind w:firstLineChars="0"/>
        <w:rPr>
          <w:b/>
          <w:bCs/>
        </w:rPr>
      </w:pPr>
      <w:r>
        <w:rPr>
          <w:rFonts w:hint="eastAsia"/>
          <w:b/>
          <w:bCs/>
        </w:rPr>
        <w:t>批量拒绝作废</w:t>
      </w:r>
    </w:p>
    <w:p>
      <w:pPr>
        <w:pStyle w:val="21"/>
        <w:spacing w:line="360" w:lineRule="auto"/>
        <w:ind w:left="420" w:firstLine="0" w:firstLineChars="0"/>
        <w:rPr>
          <w:b/>
          <w:bCs/>
        </w:rPr>
      </w:pPr>
      <w:r>
        <w:rPr>
          <w:rFonts w:hint="eastAsia"/>
        </w:rPr>
        <w:t>合同签订完成后，合同状态为生效中时，医院端提交该合同撤废申请且待生产企业同意后，点击该合同左方勾选框，若不同意可点击【</w:t>
      </w:r>
      <w:r>
        <w:rPr>
          <w:rFonts w:hint="eastAsia"/>
          <w:b/>
          <w:bCs/>
        </w:rPr>
        <w:t>批量拒绝作废</w:t>
      </w:r>
      <w:r>
        <w:rPr>
          <w:rFonts w:hint="eastAsia"/>
        </w:rPr>
        <w:t>】按钮并填写不同意撤废意见;</w:t>
      </w:r>
    </w:p>
    <w:p>
      <w:pPr>
        <w:spacing w:line="360" w:lineRule="auto"/>
      </w:pPr>
    </w:p>
    <w:p>
      <w:pPr>
        <w:pStyle w:val="21"/>
        <w:spacing w:line="360" w:lineRule="auto"/>
        <w:ind w:left="0" w:leftChars="0" w:firstLine="0" w:firstLineChars="0"/>
        <w:rPr>
          <w:rFonts w:hint="eastAsia"/>
        </w:rPr>
      </w:pPr>
    </w:p>
    <w:p>
      <w:pPr>
        <w:pStyle w:val="21"/>
        <w:ind w:firstLine="482"/>
        <w:rPr>
          <w:b/>
          <w:bCs/>
        </w:rPr>
      </w:pPr>
    </w:p>
    <w:p>
      <w:pPr>
        <w:spacing w:line="360" w:lineRule="auto"/>
        <w:ind w:left="0" w:firstLine="0"/>
      </w:pPr>
    </w:p>
    <w:p>
      <w:pPr>
        <w:pStyle w:val="21"/>
        <w:spacing w:line="360" w:lineRule="auto"/>
        <w:ind w:left="420" w:firstLine="0" w:firstLineChars="0"/>
      </w:pPr>
    </w:p>
    <w:p>
      <w:pPr>
        <w:spacing w:line="360" w:lineRule="auto"/>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86"/>
    <w:family w:val="script"/>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MS Gothic">
    <w:panose1 w:val="020B0609070205080204"/>
    <w:charset w:val="80"/>
    <w:family w:val="modern"/>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5" w:lineRule="auto"/>
      </w:pPr>
      <w:r>
        <w:separator/>
      </w:r>
    </w:p>
  </w:footnote>
  <w:footnote w:type="continuationSeparator" w:id="1">
    <w:p>
      <w:pPr>
        <w:spacing w:before="0" w:after="0" w:line="265"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3D6C46"/>
    <w:multiLevelType w:val="multilevel"/>
    <w:tmpl w:val="073D6C46"/>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616F2B"/>
    <w:multiLevelType w:val="multilevel"/>
    <w:tmpl w:val="0D616F2B"/>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D52A6A"/>
    <w:multiLevelType w:val="multilevel"/>
    <w:tmpl w:val="19D52A6A"/>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865C40"/>
    <w:multiLevelType w:val="multilevel"/>
    <w:tmpl w:val="2B865C40"/>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DA8542A"/>
    <w:multiLevelType w:val="multilevel"/>
    <w:tmpl w:val="2DA8542A"/>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4212326"/>
    <w:multiLevelType w:val="multilevel"/>
    <w:tmpl w:val="34212326"/>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9E378A8"/>
    <w:multiLevelType w:val="multilevel"/>
    <w:tmpl w:val="39E378A8"/>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FA43DF6"/>
    <w:multiLevelType w:val="multilevel"/>
    <w:tmpl w:val="3FA43DF6"/>
    <w:lvl w:ilvl="0" w:tentative="0">
      <w:start w:val="1"/>
      <w:numFmt w:val="decimal"/>
      <w:pStyle w:val="2"/>
      <w:lvlText w:val="%1"/>
      <w:lvlJc w:val="left"/>
      <w:pPr>
        <w:ind w:left="432" w:hanging="432"/>
      </w:pPr>
      <w:rPr>
        <w:rFonts w:hint="default" w:ascii="黑体" w:hAnsi="黑体" w:eastAsia="黑体"/>
      </w:rPr>
    </w:lvl>
    <w:lvl w:ilvl="1" w:tentative="0">
      <w:start w:val="1"/>
      <w:numFmt w:val="decimal"/>
      <w:pStyle w:val="3"/>
      <w:lvlText w:val="%1.%2"/>
      <w:lvlJc w:val="left"/>
      <w:pPr>
        <w:ind w:left="1001"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8">
    <w:nsid w:val="4B0539C9"/>
    <w:multiLevelType w:val="multilevel"/>
    <w:tmpl w:val="4B0539C9"/>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E2F34F2"/>
    <w:multiLevelType w:val="multilevel"/>
    <w:tmpl w:val="7E2F34F2"/>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9"/>
  </w:num>
  <w:num w:numId="3">
    <w:abstractNumId w:val="3"/>
  </w:num>
  <w:num w:numId="4">
    <w:abstractNumId w:val="4"/>
  </w:num>
  <w:num w:numId="5">
    <w:abstractNumId w:val="2"/>
  </w:num>
  <w:num w:numId="6">
    <w:abstractNumId w:val="8"/>
  </w:num>
  <w:num w:numId="7">
    <w:abstractNumId w:val="0"/>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kZDkyMzIxNDRiM2I1MzY4ZGZlYTBhYTE4NGFmOTcifQ=="/>
  </w:docVars>
  <w:rsids>
    <w:rsidRoot w:val="003E0C47"/>
    <w:rsid w:val="0001258E"/>
    <w:rsid w:val="0003111B"/>
    <w:rsid w:val="000A2F1A"/>
    <w:rsid w:val="000B6DCD"/>
    <w:rsid w:val="001969D1"/>
    <w:rsid w:val="00254821"/>
    <w:rsid w:val="00334BC0"/>
    <w:rsid w:val="0034312D"/>
    <w:rsid w:val="003E0C47"/>
    <w:rsid w:val="0045130A"/>
    <w:rsid w:val="00463660"/>
    <w:rsid w:val="004D16CC"/>
    <w:rsid w:val="004E53D1"/>
    <w:rsid w:val="005C41B5"/>
    <w:rsid w:val="00621FB7"/>
    <w:rsid w:val="00796B58"/>
    <w:rsid w:val="007E00A2"/>
    <w:rsid w:val="007E59FE"/>
    <w:rsid w:val="00912868"/>
    <w:rsid w:val="00A35F33"/>
    <w:rsid w:val="00A821C7"/>
    <w:rsid w:val="00B6541A"/>
    <w:rsid w:val="00B8570C"/>
    <w:rsid w:val="00C52D63"/>
    <w:rsid w:val="00D07945"/>
    <w:rsid w:val="00E53F16"/>
    <w:rsid w:val="10844EFC"/>
    <w:rsid w:val="16AE1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265" w:lineRule="auto"/>
      <w:ind w:left="10" w:hanging="10"/>
    </w:pPr>
    <w:rPr>
      <w:rFonts w:ascii="宋体" w:hAnsi="宋体" w:eastAsia="宋体" w:cs="宋体"/>
      <w:color w:val="000000"/>
      <w:kern w:val="2"/>
      <w:sz w:val="24"/>
      <w:szCs w:val="22"/>
      <w:lang w:val="en-US" w:eastAsia="zh-CN" w:bidi="ar-SA"/>
    </w:rPr>
  </w:style>
  <w:style w:type="paragraph" w:styleId="2">
    <w:name w:val="heading 1"/>
    <w:next w:val="1"/>
    <w:link w:val="20"/>
    <w:qFormat/>
    <w:uiPriority w:val="9"/>
    <w:pPr>
      <w:keepNext/>
      <w:keepLines/>
      <w:numPr>
        <w:ilvl w:val="0"/>
        <w:numId w:val="1"/>
      </w:numPr>
      <w:spacing w:after="362" w:line="259" w:lineRule="auto"/>
      <w:outlineLvl w:val="0"/>
    </w:pPr>
    <w:rPr>
      <w:rFonts w:ascii="宋体" w:hAnsi="宋体" w:eastAsia="方正黑体_GBK" w:cs="宋体"/>
      <w:color w:val="000000"/>
      <w:kern w:val="2"/>
      <w:sz w:val="32"/>
      <w:szCs w:val="22"/>
      <w:lang w:val="en-US" w:eastAsia="zh-CN" w:bidi="ar-SA"/>
    </w:rPr>
  </w:style>
  <w:style w:type="paragraph" w:styleId="3">
    <w:name w:val="heading 2"/>
    <w:basedOn w:val="1"/>
    <w:next w:val="1"/>
    <w:link w:val="22"/>
    <w:unhideWhenUsed/>
    <w:qFormat/>
    <w:uiPriority w:val="9"/>
    <w:pPr>
      <w:keepNext/>
      <w:keepLines/>
      <w:numPr>
        <w:ilvl w:val="1"/>
        <w:numId w:val="1"/>
      </w:numPr>
      <w:spacing w:before="260" w:after="260" w:line="416" w:lineRule="auto"/>
      <w:ind w:left="576"/>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5"/>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27"/>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2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29"/>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Date"/>
    <w:basedOn w:val="1"/>
    <w:next w:val="1"/>
    <w:link w:val="32"/>
    <w:semiHidden/>
    <w:unhideWhenUsed/>
    <w:qFormat/>
    <w:uiPriority w:val="99"/>
    <w:pPr>
      <w:ind w:left="100" w:leftChars="2500"/>
    </w:pPr>
  </w:style>
  <w:style w:type="paragraph" w:styleId="13">
    <w:name w:val="footer"/>
    <w:basedOn w:val="1"/>
    <w:link w:val="31"/>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30"/>
    <w:unhideWhenUsed/>
    <w:qFormat/>
    <w:uiPriority w:val="99"/>
    <w:pP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ind w:left="0"/>
    </w:pPr>
  </w:style>
  <w:style w:type="paragraph" w:styleId="16">
    <w:name w:val="toc 2"/>
    <w:basedOn w:val="1"/>
    <w:next w:val="1"/>
    <w:unhideWhenUsed/>
    <w:qFormat/>
    <w:uiPriority w:val="39"/>
    <w:pPr>
      <w:ind w:left="420" w:leftChars="200"/>
    </w:p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qFormat/>
    <w:uiPriority w:val="9"/>
    <w:rPr>
      <w:rFonts w:ascii="宋体" w:hAnsi="宋体" w:eastAsia="方正黑体_GBK" w:cs="宋体"/>
      <w:color w:val="000000"/>
      <w:sz w:val="32"/>
      <w:szCs w:val="22"/>
    </w:rPr>
  </w:style>
  <w:style w:type="paragraph" w:styleId="21">
    <w:name w:val="List Paragraph"/>
    <w:basedOn w:val="1"/>
    <w:qFormat/>
    <w:uiPriority w:val="34"/>
    <w:pPr>
      <w:ind w:firstLine="420" w:firstLineChars="200"/>
    </w:pPr>
  </w:style>
  <w:style w:type="character" w:customStyle="1" w:styleId="22">
    <w:name w:val="标题 2 字符"/>
    <w:basedOn w:val="18"/>
    <w:link w:val="3"/>
    <w:qFormat/>
    <w:uiPriority w:val="9"/>
    <w:rPr>
      <w:rFonts w:asciiTheme="majorHAnsi" w:hAnsiTheme="majorHAnsi" w:eastAsiaTheme="majorEastAsia" w:cstheme="majorBidi"/>
      <w:b/>
      <w:bCs/>
      <w:color w:val="000000"/>
      <w:sz w:val="32"/>
      <w:szCs w:val="32"/>
    </w:rPr>
  </w:style>
  <w:style w:type="character" w:customStyle="1" w:styleId="23">
    <w:name w:val="标题 3 字符"/>
    <w:basedOn w:val="18"/>
    <w:link w:val="4"/>
    <w:qFormat/>
    <w:uiPriority w:val="9"/>
    <w:rPr>
      <w:rFonts w:ascii="宋体" w:hAnsi="宋体" w:eastAsia="宋体" w:cs="宋体"/>
      <w:b/>
      <w:bCs/>
      <w:color w:val="000000"/>
      <w:sz w:val="32"/>
      <w:szCs w:val="32"/>
    </w:rPr>
  </w:style>
  <w:style w:type="character" w:customStyle="1" w:styleId="24">
    <w:name w:val="标题 4 字符"/>
    <w:basedOn w:val="18"/>
    <w:link w:val="5"/>
    <w:qFormat/>
    <w:uiPriority w:val="9"/>
    <w:rPr>
      <w:rFonts w:asciiTheme="majorHAnsi" w:hAnsiTheme="majorHAnsi" w:eastAsiaTheme="majorEastAsia" w:cstheme="majorBidi"/>
      <w:b/>
      <w:bCs/>
      <w:color w:val="000000"/>
      <w:sz w:val="28"/>
      <w:szCs w:val="28"/>
    </w:rPr>
  </w:style>
  <w:style w:type="character" w:customStyle="1" w:styleId="25">
    <w:name w:val="标题 5 字符"/>
    <w:basedOn w:val="18"/>
    <w:link w:val="6"/>
    <w:semiHidden/>
    <w:qFormat/>
    <w:uiPriority w:val="9"/>
    <w:rPr>
      <w:rFonts w:ascii="宋体" w:hAnsi="宋体" w:eastAsia="宋体" w:cs="宋体"/>
      <w:b/>
      <w:bCs/>
      <w:color w:val="000000"/>
      <w:sz w:val="28"/>
      <w:szCs w:val="28"/>
    </w:rPr>
  </w:style>
  <w:style w:type="character" w:customStyle="1" w:styleId="26">
    <w:name w:val="标题 6 字符"/>
    <w:basedOn w:val="18"/>
    <w:link w:val="7"/>
    <w:semiHidden/>
    <w:qFormat/>
    <w:uiPriority w:val="9"/>
    <w:rPr>
      <w:rFonts w:asciiTheme="majorHAnsi" w:hAnsiTheme="majorHAnsi" w:eastAsiaTheme="majorEastAsia" w:cstheme="majorBidi"/>
      <w:b/>
      <w:bCs/>
      <w:color w:val="000000"/>
      <w:sz w:val="24"/>
    </w:rPr>
  </w:style>
  <w:style w:type="character" w:customStyle="1" w:styleId="27">
    <w:name w:val="标题 7 字符"/>
    <w:basedOn w:val="18"/>
    <w:link w:val="8"/>
    <w:semiHidden/>
    <w:qFormat/>
    <w:uiPriority w:val="9"/>
    <w:rPr>
      <w:rFonts w:ascii="宋体" w:hAnsi="宋体" w:eastAsia="宋体" w:cs="宋体"/>
      <w:b/>
      <w:bCs/>
      <w:color w:val="000000"/>
      <w:sz w:val="24"/>
    </w:rPr>
  </w:style>
  <w:style w:type="character" w:customStyle="1" w:styleId="28">
    <w:name w:val="标题 8 字符"/>
    <w:basedOn w:val="18"/>
    <w:link w:val="9"/>
    <w:semiHidden/>
    <w:qFormat/>
    <w:uiPriority w:val="9"/>
    <w:rPr>
      <w:rFonts w:asciiTheme="majorHAnsi" w:hAnsiTheme="majorHAnsi" w:eastAsiaTheme="majorEastAsia" w:cstheme="majorBidi"/>
      <w:color w:val="000000"/>
      <w:sz w:val="24"/>
    </w:rPr>
  </w:style>
  <w:style w:type="character" w:customStyle="1" w:styleId="29">
    <w:name w:val="标题 9 字符"/>
    <w:basedOn w:val="18"/>
    <w:link w:val="10"/>
    <w:semiHidden/>
    <w:qFormat/>
    <w:uiPriority w:val="9"/>
    <w:rPr>
      <w:rFonts w:asciiTheme="majorHAnsi" w:hAnsiTheme="majorHAnsi" w:eastAsiaTheme="majorEastAsia" w:cstheme="majorBidi"/>
      <w:color w:val="000000"/>
      <w:szCs w:val="21"/>
    </w:rPr>
  </w:style>
  <w:style w:type="character" w:customStyle="1" w:styleId="30">
    <w:name w:val="页眉 字符"/>
    <w:basedOn w:val="18"/>
    <w:link w:val="14"/>
    <w:qFormat/>
    <w:uiPriority w:val="99"/>
    <w:rPr>
      <w:rFonts w:ascii="宋体" w:hAnsi="宋体" w:eastAsia="宋体" w:cs="宋体"/>
      <w:color w:val="000000"/>
      <w:sz w:val="18"/>
      <w:szCs w:val="18"/>
    </w:rPr>
  </w:style>
  <w:style w:type="character" w:customStyle="1" w:styleId="31">
    <w:name w:val="页脚 字符"/>
    <w:basedOn w:val="18"/>
    <w:link w:val="13"/>
    <w:qFormat/>
    <w:uiPriority w:val="99"/>
    <w:rPr>
      <w:rFonts w:ascii="宋体" w:hAnsi="宋体" w:eastAsia="宋体" w:cs="宋体"/>
      <w:color w:val="000000"/>
      <w:sz w:val="18"/>
      <w:szCs w:val="18"/>
    </w:rPr>
  </w:style>
  <w:style w:type="character" w:customStyle="1" w:styleId="32">
    <w:name w:val="日期 字符"/>
    <w:basedOn w:val="18"/>
    <w:link w:val="12"/>
    <w:semiHidden/>
    <w:qFormat/>
    <w:uiPriority w:val="99"/>
    <w:rPr>
      <w:rFonts w:ascii="宋体" w:hAnsi="宋体" w:eastAsia="宋体" w:cs="宋体"/>
      <w:color w:val="000000"/>
      <w:sz w:val="24"/>
      <w:szCs w:val="22"/>
    </w:rPr>
  </w:style>
  <w:style w:type="paragraph" w:customStyle="1" w:styleId="33">
    <w:name w:val="TOC Heading"/>
    <w:basedOn w:val="2"/>
    <w:next w:val="1"/>
    <w:unhideWhenUsed/>
    <w:qFormat/>
    <w:uiPriority w:val="39"/>
    <w:pPr>
      <w:numPr>
        <w:numId w:val="0"/>
      </w:numPr>
      <w:spacing w:before="240" w:after="0"/>
      <w:outlineLvl w:val="9"/>
    </w:pPr>
    <w:rPr>
      <w:rFonts w:asciiTheme="majorHAnsi" w:hAnsiTheme="majorHAnsi" w:eastAsiaTheme="majorEastAsia" w:cstheme="majorBidi"/>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23C1-C661-414D-B5BC-F86C5D47E52C}">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417</Words>
  <Characters>2380</Characters>
  <Lines>19</Lines>
  <Paragraphs>5</Paragraphs>
  <TotalTime>0</TotalTime>
  <ScaleCrop>false</ScaleCrop>
  <LinksUpToDate>false</LinksUpToDate>
  <CharactersWithSpaces>2792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2022-03-17T01:55:00Z</dcterms:created>
  <dc:creator>tudou_lrr@163.com</dc:creator>
  <cp:lastModifiedBy>小玩子</cp:lastModifiedBy>
  <dcterms:modified xsi:type="dcterms:W3CDTF">2023-09-14T07:28:56Z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E6EC7FD6054546EC9C2966EEE6E2C333_12</vt:lpwstr>
  </property>
</Properties>
</file>