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line="560" w:lineRule="atLeast"/>
        <w:jc w:val="both"/>
        <w:rPr>
          <w:rFonts w:hint="eastAsia" w:ascii="黑体" w:hAnsi="黑体" w:eastAsia="黑体" w:cs="黑体"/>
          <w:color w:val="333333"/>
          <w:sz w:val="32"/>
          <w:szCs w:val="32"/>
          <w:lang w:val="en-US" w:eastAsia="zh-CN"/>
        </w:rPr>
      </w:pPr>
      <w:r>
        <w:rPr>
          <w:rFonts w:hint="eastAsia" w:ascii="黑体" w:hAnsi="黑体" w:eastAsia="黑体" w:cs="黑体"/>
          <w:color w:val="333333"/>
          <w:sz w:val="32"/>
          <w:szCs w:val="32"/>
          <w:lang w:eastAsia="zh-CN"/>
        </w:rPr>
        <w:t>附件</w:t>
      </w:r>
      <w:r>
        <w:rPr>
          <w:rFonts w:hint="eastAsia" w:ascii="黑体" w:hAnsi="黑体" w:eastAsia="黑体" w:cs="黑体"/>
          <w:color w:val="333333"/>
          <w:sz w:val="32"/>
          <w:szCs w:val="32"/>
          <w:lang w:val="en-US" w:eastAsia="zh-CN"/>
        </w:rPr>
        <w:t>2</w:t>
      </w:r>
    </w:p>
    <w:p>
      <w:pPr>
        <w:shd w:val="clear" w:color="auto" w:fill="FFFFFF"/>
        <w:spacing w:line="560" w:lineRule="atLeast"/>
        <w:jc w:val="center"/>
        <w:rPr>
          <w:rFonts w:hint="eastAsia" w:ascii="方正小标宋简体" w:hAnsi="方正小标宋简体" w:eastAsia="方正小标宋简体" w:cs="方正小标宋简体"/>
          <w:color w:val="333333"/>
          <w:sz w:val="44"/>
          <w:szCs w:val="44"/>
        </w:rPr>
      </w:pPr>
      <w:r>
        <w:rPr>
          <w:rFonts w:hint="eastAsia" w:ascii="方正小标宋简体" w:hAnsi="方正小标宋简体" w:eastAsia="方正小标宋简体" w:cs="方正小标宋简体"/>
          <w:color w:val="333333"/>
          <w:sz w:val="44"/>
          <w:szCs w:val="44"/>
        </w:rPr>
        <w:t>定点医疗</w:t>
      </w:r>
      <w:bookmarkStart w:id="0" w:name="_GoBack"/>
      <w:bookmarkEnd w:id="0"/>
      <w:r>
        <w:rPr>
          <w:rFonts w:hint="eastAsia" w:ascii="方正小标宋简体" w:hAnsi="方正小标宋简体" w:eastAsia="方正小标宋简体" w:cs="方正小标宋简体"/>
          <w:color w:val="333333"/>
          <w:sz w:val="44"/>
          <w:szCs w:val="44"/>
        </w:rPr>
        <w:t>机构指标体系（</w:t>
      </w:r>
      <w:r>
        <w:rPr>
          <w:rFonts w:hint="eastAsia" w:ascii="方正小标宋简体" w:hAnsi="方正小标宋简体" w:eastAsia="方正小标宋简体" w:cs="方正小标宋简体"/>
          <w:color w:val="333333"/>
          <w:sz w:val="44"/>
          <w:szCs w:val="44"/>
          <w:lang w:val="en-US" w:eastAsia="zh-CN"/>
        </w:rPr>
        <w:t>2022</w:t>
      </w:r>
      <w:r>
        <w:rPr>
          <w:rFonts w:hint="eastAsia" w:ascii="方正小标宋简体" w:hAnsi="方正小标宋简体" w:eastAsia="方正小标宋简体" w:cs="方正小标宋简体"/>
          <w:color w:val="333333"/>
          <w:sz w:val="44"/>
          <w:szCs w:val="44"/>
        </w:rPr>
        <w:t>版）</w:t>
      </w:r>
    </w:p>
    <w:tbl>
      <w:tblPr>
        <w:tblStyle w:val="5"/>
        <w:tblW w:w="5257" w:type="pct"/>
        <w:jc w:val="center"/>
        <w:tblLayout w:type="fixed"/>
        <w:tblCellMar>
          <w:top w:w="0" w:type="dxa"/>
          <w:left w:w="0" w:type="dxa"/>
          <w:bottom w:w="0" w:type="dxa"/>
          <w:right w:w="0" w:type="dxa"/>
        </w:tblCellMar>
      </w:tblPr>
      <w:tblGrid>
        <w:gridCol w:w="436"/>
        <w:gridCol w:w="426"/>
        <w:gridCol w:w="509"/>
        <w:gridCol w:w="516"/>
        <w:gridCol w:w="480"/>
        <w:gridCol w:w="2301"/>
        <w:gridCol w:w="2345"/>
        <w:gridCol w:w="1935"/>
        <w:gridCol w:w="13"/>
      </w:tblGrid>
      <w:tr>
        <w:tblPrEx>
          <w:tblCellMar>
            <w:top w:w="0" w:type="dxa"/>
            <w:left w:w="0" w:type="dxa"/>
            <w:bottom w:w="0" w:type="dxa"/>
            <w:right w:w="0" w:type="dxa"/>
          </w:tblCellMar>
        </w:tblPrEx>
        <w:trPr>
          <w:gridAfter w:val="1"/>
          <w:wAfter w:w="7" w:type="pct"/>
          <w:trHeight w:val="23" w:hRule="atLeast"/>
          <w:tblHeader/>
          <w:jc w:val="center"/>
        </w:trPr>
        <w:tc>
          <w:tcPr>
            <w:tcW w:w="243" w:type="pct"/>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jc w:val="center"/>
              <w:textAlignment w:val="center"/>
              <w:rPr>
                <w:rFonts w:ascii="Times New Roman" w:hAnsi="Times New Roman" w:eastAsia="宋体" w:cs="Times New Roman"/>
                <w:color w:val="auto"/>
                <w:sz w:val="24"/>
                <w:szCs w:val="24"/>
              </w:rPr>
            </w:pPr>
            <w:r>
              <w:rPr>
                <w:rFonts w:hint="eastAsia" w:ascii="黑体" w:hAnsi="黑体" w:eastAsia="黑体" w:cs="Times New Roman"/>
                <w:color w:val="auto"/>
                <w:sz w:val="24"/>
                <w:szCs w:val="24"/>
              </w:rPr>
              <w:t>一级</w:t>
            </w:r>
          </w:p>
          <w:p>
            <w:pPr>
              <w:spacing w:line="23" w:lineRule="atLeast"/>
              <w:jc w:val="center"/>
              <w:textAlignment w:val="center"/>
              <w:rPr>
                <w:rFonts w:ascii="Times New Roman" w:hAnsi="Times New Roman" w:eastAsia="宋体" w:cs="Times New Roman"/>
                <w:color w:val="auto"/>
                <w:sz w:val="24"/>
                <w:szCs w:val="24"/>
              </w:rPr>
            </w:pPr>
            <w:r>
              <w:rPr>
                <w:rFonts w:hint="eastAsia" w:ascii="黑体" w:hAnsi="黑体" w:eastAsia="黑体" w:cs="Times New Roman"/>
                <w:color w:val="auto"/>
                <w:sz w:val="24"/>
                <w:szCs w:val="24"/>
              </w:rPr>
              <w:t>指标</w:t>
            </w:r>
          </w:p>
        </w:tc>
        <w:tc>
          <w:tcPr>
            <w:tcW w:w="237"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spacing w:line="23" w:lineRule="atLeast"/>
              <w:jc w:val="center"/>
              <w:textAlignment w:val="center"/>
              <w:rPr>
                <w:rFonts w:ascii="Times New Roman" w:hAnsi="Times New Roman" w:eastAsia="宋体" w:cs="Times New Roman"/>
                <w:color w:val="auto"/>
                <w:sz w:val="24"/>
                <w:szCs w:val="24"/>
              </w:rPr>
            </w:pPr>
            <w:r>
              <w:rPr>
                <w:rFonts w:hint="eastAsia" w:ascii="黑体" w:hAnsi="黑体" w:eastAsia="黑体" w:cs="Times New Roman"/>
                <w:color w:val="auto"/>
                <w:sz w:val="24"/>
                <w:szCs w:val="24"/>
              </w:rPr>
              <w:t>二级指标</w:t>
            </w:r>
          </w:p>
        </w:tc>
        <w:tc>
          <w:tcPr>
            <w:tcW w:w="284"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spacing w:line="23" w:lineRule="atLeast"/>
              <w:jc w:val="center"/>
              <w:textAlignment w:val="center"/>
              <w:rPr>
                <w:rFonts w:hint="eastAsia" w:ascii="黑体" w:hAnsi="黑体" w:eastAsia="黑体" w:cs="Times New Roman"/>
                <w:color w:val="auto"/>
                <w:sz w:val="24"/>
                <w:szCs w:val="24"/>
              </w:rPr>
            </w:pPr>
            <w:r>
              <w:rPr>
                <w:rFonts w:hint="eastAsia" w:ascii="黑体" w:hAnsi="黑体" w:eastAsia="黑体" w:cs="Times New Roman"/>
                <w:color w:val="auto"/>
                <w:sz w:val="24"/>
                <w:szCs w:val="24"/>
              </w:rPr>
              <w:t>三级</w:t>
            </w:r>
          </w:p>
          <w:p>
            <w:pPr>
              <w:spacing w:line="23" w:lineRule="atLeast"/>
              <w:jc w:val="center"/>
              <w:textAlignment w:val="center"/>
              <w:rPr>
                <w:rFonts w:ascii="Times New Roman" w:hAnsi="Times New Roman" w:eastAsia="宋体" w:cs="Times New Roman"/>
                <w:color w:val="auto"/>
                <w:sz w:val="24"/>
                <w:szCs w:val="24"/>
              </w:rPr>
            </w:pPr>
            <w:r>
              <w:rPr>
                <w:rFonts w:hint="eastAsia" w:ascii="黑体" w:hAnsi="黑体" w:eastAsia="黑体" w:cs="Times New Roman"/>
                <w:color w:val="auto"/>
                <w:sz w:val="24"/>
                <w:szCs w:val="24"/>
              </w:rPr>
              <w:t>指标</w:t>
            </w:r>
          </w:p>
        </w:tc>
        <w:tc>
          <w:tcPr>
            <w:tcW w:w="287"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center"/>
              <w:textAlignment w:val="center"/>
              <w:rPr>
                <w:rFonts w:ascii="Times New Roman" w:hAnsi="Times New Roman" w:eastAsia="宋体" w:cs="Times New Roman"/>
                <w:color w:val="auto"/>
                <w:sz w:val="24"/>
                <w:szCs w:val="24"/>
              </w:rPr>
            </w:pPr>
            <w:r>
              <w:rPr>
                <w:rFonts w:hint="eastAsia" w:ascii="黑体" w:hAnsi="黑体" w:eastAsia="黑体" w:cs="Times New Roman"/>
                <w:color w:val="auto"/>
                <w:sz w:val="24"/>
                <w:szCs w:val="24"/>
              </w:rPr>
              <w:t>分值</w:t>
            </w:r>
          </w:p>
          <w:p>
            <w:pPr>
              <w:spacing w:line="23" w:lineRule="atLeast"/>
              <w:jc w:val="center"/>
              <w:textAlignment w:val="center"/>
              <w:rPr>
                <w:rFonts w:ascii="Times New Roman" w:hAnsi="Times New Roman" w:eastAsia="宋体" w:cs="Times New Roman"/>
                <w:color w:val="auto"/>
                <w:sz w:val="24"/>
                <w:szCs w:val="24"/>
              </w:rPr>
            </w:pPr>
            <w:r>
              <w:rPr>
                <w:rFonts w:hint="eastAsia" w:ascii="黑体" w:hAnsi="黑体" w:eastAsia="黑体" w:cs="Times New Roman"/>
                <w:color w:val="auto"/>
                <w:sz w:val="24"/>
                <w:szCs w:val="24"/>
              </w:rPr>
              <w:t>设计</w:t>
            </w:r>
          </w:p>
        </w:tc>
        <w:tc>
          <w:tcPr>
            <w:tcW w:w="267"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spacing w:line="23" w:lineRule="atLeast"/>
              <w:jc w:val="center"/>
              <w:textAlignment w:val="center"/>
              <w:rPr>
                <w:rFonts w:ascii="Times New Roman" w:hAnsi="Times New Roman" w:eastAsia="宋体" w:cs="Times New Roman"/>
                <w:color w:val="auto"/>
                <w:sz w:val="24"/>
                <w:szCs w:val="24"/>
              </w:rPr>
            </w:pPr>
            <w:r>
              <w:rPr>
                <w:rFonts w:hint="eastAsia" w:ascii="黑体" w:hAnsi="黑体" w:eastAsia="黑体" w:cs="Times New Roman"/>
                <w:color w:val="auto"/>
                <w:sz w:val="24"/>
                <w:szCs w:val="24"/>
              </w:rPr>
              <w:t>权重</w:t>
            </w:r>
          </w:p>
        </w:tc>
        <w:tc>
          <w:tcPr>
            <w:tcW w:w="1283"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spacing w:line="23" w:lineRule="atLeast"/>
              <w:jc w:val="center"/>
              <w:textAlignment w:val="center"/>
              <w:rPr>
                <w:rFonts w:ascii="Times New Roman" w:hAnsi="Times New Roman" w:eastAsia="宋体" w:cs="Times New Roman"/>
                <w:color w:val="auto"/>
                <w:sz w:val="24"/>
                <w:szCs w:val="24"/>
              </w:rPr>
            </w:pPr>
            <w:r>
              <w:rPr>
                <w:rFonts w:hint="eastAsia" w:ascii="黑体" w:hAnsi="黑体" w:eastAsia="黑体" w:cs="Times New Roman"/>
                <w:color w:val="auto"/>
                <w:sz w:val="24"/>
                <w:szCs w:val="24"/>
              </w:rPr>
              <w:t>指标释义</w:t>
            </w:r>
          </w:p>
        </w:tc>
        <w:tc>
          <w:tcPr>
            <w:tcW w:w="1308"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spacing w:line="23" w:lineRule="atLeast"/>
              <w:jc w:val="center"/>
              <w:textAlignment w:val="center"/>
              <w:rPr>
                <w:rFonts w:ascii="Times New Roman" w:hAnsi="Times New Roman" w:eastAsia="宋体" w:cs="Times New Roman"/>
                <w:color w:val="auto"/>
                <w:sz w:val="24"/>
                <w:szCs w:val="24"/>
              </w:rPr>
            </w:pPr>
            <w:r>
              <w:rPr>
                <w:rFonts w:hint="eastAsia" w:ascii="黑体" w:hAnsi="黑体" w:eastAsia="黑体" w:cs="Times New Roman"/>
                <w:color w:val="auto"/>
                <w:sz w:val="24"/>
                <w:szCs w:val="24"/>
              </w:rPr>
              <w:t>设计依据</w:t>
            </w:r>
          </w:p>
        </w:tc>
        <w:tc>
          <w:tcPr>
            <w:tcW w:w="1079"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spacing w:line="23" w:lineRule="atLeast"/>
              <w:jc w:val="center"/>
              <w:textAlignment w:val="center"/>
              <w:rPr>
                <w:rFonts w:ascii="Times New Roman" w:hAnsi="Times New Roman" w:eastAsia="宋体" w:cs="Times New Roman"/>
                <w:color w:val="auto"/>
                <w:sz w:val="24"/>
                <w:szCs w:val="24"/>
              </w:rPr>
            </w:pPr>
            <w:r>
              <w:rPr>
                <w:rFonts w:hint="eastAsia" w:ascii="黑体" w:hAnsi="黑体" w:eastAsia="黑体" w:cs="Times New Roman"/>
                <w:color w:val="auto"/>
                <w:sz w:val="24"/>
                <w:szCs w:val="24"/>
              </w:rPr>
              <w:t>评分规则</w:t>
            </w:r>
          </w:p>
        </w:tc>
      </w:tr>
      <w:tr>
        <w:tblPrEx>
          <w:tblCellMar>
            <w:top w:w="0" w:type="dxa"/>
            <w:left w:w="0" w:type="dxa"/>
            <w:bottom w:w="0" w:type="dxa"/>
            <w:right w:w="0" w:type="dxa"/>
          </w:tblCellMar>
        </w:tblPrEx>
        <w:trPr>
          <w:gridAfter w:val="1"/>
          <w:wAfter w:w="7" w:type="pct"/>
          <w:trHeight w:val="1537" w:hRule="atLeast"/>
          <w:jc w:val="center"/>
        </w:trPr>
        <w:tc>
          <w:tcPr>
            <w:tcW w:w="243" w:type="pct"/>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line="23" w:lineRule="atLeas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协议管理</w:t>
            </w:r>
          </w:p>
        </w:tc>
        <w:tc>
          <w:tcPr>
            <w:tcW w:w="237"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spacing w:line="23" w:lineRule="atLeas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基础管理</w:t>
            </w:r>
          </w:p>
        </w:tc>
        <w:tc>
          <w:tcPr>
            <w:tcW w:w="284"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spacing w:line="23" w:lineRule="atLeas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标识</w:t>
            </w:r>
          </w:p>
          <w:p>
            <w:pPr>
              <w:spacing w:line="23" w:lineRule="atLeas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标牌</w:t>
            </w:r>
          </w:p>
        </w:tc>
        <w:tc>
          <w:tcPr>
            <w:tcW w:w="287"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center"/>
              <w:textAlignment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10</w:t>
            </w:r>
          </w:p>
        </w:tc>
        <w:tc>
          <w:tcPr>
            <w:tcW w:w="267"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eastAsia="zh-CN"/>
              </w:rPr>
              <w:t>10</w:t>
            </w:r>
            <w:r>
              <w:rPr>
                <w:rFonts w:hint="eastAsia" w:ascii="仿宋_GB2312" w:hAnsi="仿宋_GB2312" w:eastAsia="仿宋_GB2312" w:cs="仿宋_GB2312"/>
                <w:color w:val="auto"/>
                <w:sz w:val="21"/>
                <w:szCs w:val="21"/>
              </w:rPr>
              <w:t>‰</w:t>
            </w:r>
          </w:p>
        </w:tc>
        <w:tc>
          <w:tcPr>
            <w:tcW w:w="1283"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spacing w:line="23" w:lineRule="atLeast"/>
              <w:jc w:val="both"/>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在本机构显要位置悬挂医疗保障标识标牌。</w:t>
            </w:r>
          </w:p>
        </w:tc>
        <w:tc>
          <w:tcPr>
            <w:tcW w:w="1308"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both"/>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val="en-US" w:eastAsia="zh-CN"/>
              </w:rPr>
              <w:t>1.</w:t>
            </w:r>
            <w:r>
              <w:rPr>
                <w:rFonts w:hint="eastAsia" w:ascii="仿宋_GB2312" w:hAnsi="仿宋_GB2312" w:eastAsia="仿宋_GB2312" w:cs="仿宋_GB2312"/>
                <w:color w:val="auto"/>
                <w:sz w:val="21"/>
                <w:szCs w:val="21"/>
                <w:lang w:eastAsia="zh-CN"/>
              </w:rPr>
              <w:t xml:space="preserve">《医疗机构医疗保障定点管理暂行办法》； </w:t>
            </w:r>
          </w:p>
          <w:p>
            <w:pPr>
              <w:jc w:val="both"/>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val="en-US" w:eastAsia="zh-CN"/>
              </w:rPr>
              <w:t>2.</w:t>
            </w:r>
            <w:r>
              <w:rPr>
                <w:rFonts w:hint="eastAsia" w:ascii="仿宋_GB2312" w:hAnsi="仿宋_GB2312" w:eastAsia="仿宋_GB2312" w:cs="仿宋_GB2312"/>
                <w:color w:val="auto"/>
                <w:sz w:val="21"/>
                <w:szCs w:val="21"/>
                <w:lang w:eastAsia="zh-CN"/>
              </w:rPr>
              <w:t>《青海省医疗保障定点医疗机构服务协议（2019版）》。</w:t>
            </w:r>
          </w:p>
        </w:tc>
        <w:tc>
          <w:tcPr>
            <w:tcW w:w="1079"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both"/>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按照规定</w:t>
            </w:r>
            <w:r>
              <w:rPr>
                <w:rFonts w:hint="eastAsia" w:ascii="仿宋_GB2312" w:hAnsi="仿宋_GB2312" w:eastAsia="仿宋_GB2312" w:cs="仿宋_GB2312"/>
                <w:color w:val="auto"/>
                <w:sz w:val="21"/>
                <w:szCs w:val="21"/>
                <w:lang w:val="en-US" w:eastAsia="zh-CN"/>
              </w:rPr>
              <w:t>悬挂标牌的</w:t>
            </w:r>
            <w:r>
              <w:rPr>
                <w:rFonts w:hint="eastAsia" w:ascii="仿宋_GB2312" w:hAnsi="仿宋_GB2312" w:eastAsia="仿宋_GB2312" w:cs="仿宋_GB2312"/>
                <w:color w:val="auto"/>
                <w:sz w:val="21"/>
                <w:szCs w:val="21"/>
                <w:lang w:eastAsia="zh-CN"/>
              </w:rPr>
              <w:t>得分；未按照规定</w:t>
            </w:r>
            <w:r>
              <w:rPr>
                <w:rFonts w:hint="eastAsia" w:ascii="仿宋_GB2312" w:hAnsi="仿宋_GB2312" w:eastAsia="仿宋_GB2312" w:cs="仿宋_GB2312"/>
                <w:color w:val="auto"/>
                <w:sz w:val="21"/>
                <w:szCs w:val="21"/>
                <w:lang w:val="en-US" w:eastAsia="zh-CN"/>
              </w:rPr>
              <w:t>悬挂标牌的</w:t>
            </w:r>
            <w:r>
              <w:rPr>
                <w:rFonts w:hint="eastAsia" w:ascii="仿宋_GB2312" w:hAnsi="仿宋_GB2312" w:eastAsia="仿宋_GB2312" w:cs="仿宋_GB2312"/>
                <w:color w:val="auto"/>
                <w:sz w:val="21"/>
                <w:szCs w:val="21"/>
                <w:lang w:eastAsia="zh-CN"/>
              </w:rPr>
              <w:t>，不得分。</w:t>
            </w:r>
          </w:p>
        </w:tc>
      </w:tr>
      <w:tr>
        <w:tblPrEx>
          <w:tblCellMar>
            <w:top w:w="0" w:type="dxa"/>
            <w:left w:w="0" w:type="dxa"/>
            <w:bottom w:w="0" w:type="dxa"/>
            <w:right w:w="0" w:type="dxa"/>
          </w:tblCellMar>
        </w:tblPrEx>
        <w:trPr>
          <w:gridAfter w:val="1"/>
          <w:wAfter w:w="7" w:type="pct"/>
          <w:trHeight w:val="1705" w:hRule="atLeast"/>
          <w:jc w:val="center"/>
        </w:trPr>
        <w:tc>
          <w:tcPr>
            <w:tcW w:w="243" w:type="pct"/>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line="23" w:lineRule="atLeas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协议管理</w:t>
            </w:r>
          </w:p>
        </w:tc>
        <w:tc>
          <w:tcPr>
            <w:tcW w:w="237"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spacing w:line="23" w:lineRule="atLeas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基础管理</w:t>
            </w:r>
          </w:p>
        </w:tc>
        <w:tc>
          <w:tcPr>
            <w:tcW w:w="284"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spacing w:line="23" w:lineRule="atLeas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变更</w:t>
            </w:r>
          </w:p>
          <w:p>
            <w:pPr>
              <w:spacing w:line="23" w:lineRule="atLeas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申请</w:t>
            </w:r>
          </w:p>
        </w:tc>
        <w:tc>
          <w:tcPr>
            <w:tcW w:w="287"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center"/>
              <w:textAlignment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10</w:t>
            </w:r>
          </w:p>
        </w:tc>
        <w:tc>
          <w:tcPr>
            <w:tcW w:w="267"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eastAsia="zh-CN"/>
              </w:rPr>
              <w:t>10</w:t>
            </w:r>
            <w:r>
              <w:rPr>
                <w:rFonts w:hint="eastAsia" w:ascii="仿宋_GB2312" w:hAnsi="仿宋_GB2312" w:eastAsia="仿宋_GB2312" w:cs="仿宋_GB2312"/>
                <w:color w:val="auto"/>
                <w:sz w:val="21"/>
                <w:szCs w:val="21"/>
              </w:rPr>
              <w:t>‰</w:t>
            </w:r>
          </w:p>
        </w:tc>
        <w:tc>
          <w:tcPr>
            <w:tcW w:w="1283"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spacing w:line="23" w:lineRule="atLeast"/>
              <w:jc w:val="both"/>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医院名称、法定代表人、主要负责人或实际控制人、注册地址、银行账户、 诊疗科目、机构规模、机构性质、等级和类别等重大信息变更时，</w:t>
            </w:r>
            <w:r>
              <w:rPr>
                <w:rFonts w:hint="eastAsia" w:ascii="仿宋_GB2312" w:hAnsi="仿宋_GB2312" w:eastAsia="仿宋_GB2312" w:cs="仿宋_GB2312"/>
                <w:color w:val="auto"/>
                <w:sz w:val="21"/>
                <w:szCs w:val="21"/>
                <w:lang w:val="en-US" w:eastAsia="zh-CN"/>
              </w:rPr>
              <w:t>及</w:t>
            </w:r>
            <w:r>
              <w:rPr>
                <w:rFonts w:hint="eastAsia" w:ascii="仿宋_GB2312" w:hAnsi="仿宋_GB2312" w:eastAsia="仿宋_GB2312" w:cs="仿宋_GB2312"/>
                <w:color w:val="auto"/>
                <w:sz w:val="21"/>
                <w:szCs w:val="21"/>
              </w:rPr>
              <w:t>时向医保经办机构提出变更申请。</w:t>
            </w:r>
          </w:p>
        </w:tc>
        <w:tc>
          <w:tcPr>
            <w:tcW w:w="1308"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both"/>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1.《医疗机构医疗保障定点管理暂行办法》；</w:t>
            </w:r>
          </w:p>
          <w:p>
            <w:pPr>
              <w:jc w:val="both"/>
              <w:rPr>
                <w:rFonts w:hint="default"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2.《青海省医疗保障定点医疗机构服务协议（2019版）》。</w:t>
            </w:r>
          </w:p>
        </w:tc>
        <w:tc>
          <w:tcPr>
            <w:tcW w:w="1079"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both"/>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按照规定进行变更备案</w:t>
            </w:r>
            <w:r>
              <w:rPr>
                <w:rFonts w:hint="eastAsia" w:ascii="仿宋_GB2312" w:hAnsi="仿宋_GB2312" w:eastAsia="仿宋_GB2312" w:cs="仿宋_GB2312"/>
                <w:color w:val="auto"/>
                <w:sz w:val="21"/>
                <w:szCs w:val="21"/>
                <w:lang w:val="en-US" w:eastAsia="zh-CN"/>
              </w:rPr>
              <w:t>的</w:t>
            </w:r>
            <w:r>
              <w:rPr>
                <w:rFonts w:hint="eastAsia" w:ascii="仿宋_GB2312" w:hAnsi="仿宋_GB2312" w:eastAsia="仿宋_GB2312" w:cs="仿宋_GB2312"/>
                <w:color w:val="auto"/>
                <w:sz w:val="21"/>
                <w:szCs w:val="21"/>
                <w:lang w:eastAsia="zh-CN"/>
              </w:rPr>
              <w:t>得分；未按照规定进行变更备案，不得分。</w:t>
            </w:r>
          </w:p>
        </w:tc>
      </w:tr>
      <w:tr>
        <w:tblPrEx>
          <w:tblCellMar>
            <w:top w:w="0" w:type="dxa"/>
            <w:left w:w="0" w:type="dxa"/>
            <w:bottom w:w="0" w:type="dxa"/>
            <w:right w:w="0" w:type="dxa"/>
          </w:tblCellMar>
        </w:tblPrEx>
        <w:trPr>
          <w:gridAfter w:val="1"/>
          <w:wAfter w:w="7" w:type="pct"/>
          <w:trHeight w:val="1196" w:hRule="atLeast"/>
          <w:jc w:val="center"/>
        </w:trPr>
        <w:tc>
          <w:tcPr>
            <w:tcW w:w="243" w:type="pct"/>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line="23" w:lineRule="atLeas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协议管理</w:t>
            </w:r>
          </w:p>
        </w:tc>
        <w:tc>
          <w:tcPr>
            <w:tcW w:w="237"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spacing w:line="23" w:lineRule="atLeas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基础管理</w:t>
            </w:r>
          </w:p>
        </w:tc>
        <w:tc>
          <w:tcPr>
            <w:tcW w:w="284"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spacing w:line="23" w:lineRule="atLeas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信息</w:t>
            </w:r>
          </w:p>
          <w:p>
            <w:pPr>
              <w:spacing w:line="23" w:lineRule="atLeas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公开</w:t>
            </w:r>
          </w:p>
        </w:tc>
        <w:tc>
          <w:tcPr>
            <w:tcW w:w="287"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center"/>
              <w:textAlignment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10</w:t>
            </w:r>
          </w:p>
        </w:tc>
        <w:tc>
          <w:tcPr>
            <w:tcW w:w="267"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eastAsia="zh-CN"/>
              </w:rPr>
              <w:t>10</w:t>
            </w:r>
            <w:r>
              <w:rPr>
                <w:rFonts w:hint="eastAsia" w:ascii="仿宋_GB2312" w:hAnsi="仿宋_GB2312" w:eastAsia="仿宋_GB2312" w:cs="仿宋_GB2312"/>
                <w:color w:val="auto"/>
                <w:sz w:val="21"/>
                <w:szCs w:val="21"/>
              </w:rPr>
              <w:t>‰</w:t>
            </w:r>
          </w:p>
        </w:tc>
        <w:tc>
          <w:tcPr>
            <w:tcW w:w="1283"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spacing w:line="23" w:lineRule="atLeast"/>
              <w:jc w:val="both"/>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向医保部门报告医保基金使用监督管理及协议管理所需信息；</w:t>
            </w:r>
          </w:p>
          <w:p>
            <w:pPr>
              <w:spacing w:line="23" w:lineRule="atLeast"/>
              <w:jc w:val="both"/>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rPr>
              <w:t>按规定</w:t>
            </w:r>
            <w:r>
              <w:rPr>
                <w:rFonts w:hint="eastAsia" w:ascii="仿宋_GB2312" w:hAnsi="仿宋_GB2312" w:eastAsia="仿宋_GB2312" w:cs="仿宋_GB2312"/>
                <w:color w:val="auto"/>
                <w:sz w:val="21"/>
                <w:szCs w:val="21"/>
              </w:rPr>
              <w:t>向社会公开</w:t>
            </w:r>
            <w:r>
              <w:rPr>
                <w:rFonts w:hint="eastAsia" w:ascii="仿宋_GB2312" w:hAnsi="仿宋_GB2312" w:eastAsia="仿宋_GB2312" w:cs="仿宋_GB2312"/>
                <w:color w:val="auto"/>
                <w:sz w:val="21"/>
                <w:szCs w:val="21"/>
                <w:lang w:val="en-US" w:eastAsia="zh-CN"/>
              </w:rPr>
              <w:t>有关</w:t>
            </w:r>
            <w:r>
              <w:rPr>
                <w:rFonts w:hint="eastAsia" w:ascii="仿宋_GB2312" w:hAnsi="仿宋_GB2312" w:eastAsia="仿宋_GB2312" w:cs="仿宋_GB2312"/>
                <w:color w:val="auto"/>
                <w:sz w:val="21"/>
                <w:szCs w:val="21"/>
              </w:rPr>
              <w:t>等信息。</w:t>
            </w:r>
          </w:p>
        </w:tc>
        <w:tc>
          <w:tcPr>
            <w:tcW w:w="1308"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both"/>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val="en-US" w:eastAsia="zh-CN"/>
              </w:rPr>
              <w:t>1.</w:t>
            </w:r>
            <w:r>
              <w:rPr>
                <w:rFonts w:hint="eastAsia" w:ascii="仿宋_GB2312" w:hAnsi="仿宋_GB2312" w:eastAsia="仿宋_GB2312" w:cs="仿宋_GB2312"/>
                <w:color w:val="auto"/>
                <w:sz w:val="21"/>
                <w:szCs w:val="21"/>
                <w:lang w:eastAsia="zh-CN"/>
              </w:rPr>
              <w:t>《医疗保障基金使用监督管理条例》；</w:t>
            </w:r>
          </w:p>
          <w:p>
            <w:pPr>
              <w:jc w:val="both"/>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val="en-US" w:eastAsia="zh-CN"/>
              </w:rPr>
              <w:t>2.</w:t>
            </w:r>
            <w:r>
              <w:rPr>
                <w:rFonts w:hint="eastAsia" w:ascii="仿宋_GB2312" w:hAnsi="仿宋_GB2312" w:eastAsia="仿宋_GB2312" w:cs="仿宋_GB2312"/>
                <w:color w:val="auto"/>
                <w:sz w:val="21"/>
                <w:szCs w:val="21"/>
                <w:lang w:eastAsia="zh-CN"/>
              </w:rPr>
              <w:t>《医疗机构医疗保障定点管理暂行办法》；</w:t>
            </w:r>
          </w:p>
          <w:p>
            <w:pPr>
              <w:jc w:val="both"/>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val="en-US" w:eastAsia="zh-CN"/>
              </w:rPr>
              <w:t>3.</w:t>
            </w:r>
            <w:r>
              <w:rPr>
                <w:rFonts w:hint="eastAsia" w:ascii="仿宋_GB2312" w:hAnsi="仿宋_GB2312" w:eastAsia="仿宋_GB2312" w:cs="仿宋_GB2312"/>
                <w:color w:val="auto"/>
                <w:sz w:val="21"/>
                <w:szCs w:val="21"/>
                <w:lang w:eastAsia="zh-CN"/>
              </w:rPr>
              <w:t>《青海省医疗保障定点医疗机构服务协议（2019版）》。</w:t>
            </w:r>
          </w:p>
        </w:tc>
        <w:tc>
          <w:tcPr>
            <w:tcW w:w="1079"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both"/>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按照规定公开的，得分；</w:t>
            </w:r>
            <w:r>
              <w:rPr>
                <w:rFonts w:hint="eastAsia" w:ascii="仿宋_GB2312" w:hAnsi="仿宋_GB2312" w:eastAsia="仿宋_GB2312" w:cs="仿宋_GB2312"/>
                <w:color w:val="auto"/>
                <w:sz w:val="21"/>
                <w:szCs w:val="21"/>
                <w:lang w:eastAsia="zh-CN"/>
              </w:rPr>
              <w:t>未按照规定</w:t>
            </w:r>
            <w:r>
              <w:rPr>
                <w:rFonts w:hint="eastAsia" w:ascii="仿宋_GB2312" w:hAnsi="仿宋_GB2312" w:eastAsia="仿宋_GB2312" w:cs="仿宋_GB2312"/>
                <w:color w:val="auto"/>
                <w:sz w:val="21"/>
                <w:szCs w:val="21"/>
                <w:lang w:val="en-US" w:eastAsia="zh-CN"/>
              </w:rPr>
              <w:t>公开信息的</w:t>
            </w:r>
            <w:r>
              <w:rPr>
                <w:rFonts w:hint="eastAsia" w:ascii="仿宋_GB2312" w:hAnsi="仿宋_GB2312" w:eastAsia="仿宋_GB2312" w:cs="仿宋_GB2312"/>
                <w:color w:val="auto"/>
                <w:sz w:val="21"/>
                <w:szCs w:val="21"/>
                <w:lang w:eastAsia="zh-CN"/>
              </w:rPr>
              <w:t>，不得分。</w:t>
            </w:r>
          </w:p>
        </w:tc>
      </w:tr>
      <w:tr>
        <w:tblPrEx>
          <w:tblCellMar>
            <w:top w:w="0" w:type="dxa"/>
            <w:left w:w="0" w:type="dxa"/>
            <w:bottom w:w="0" w:type="dxa"/>
            <w:right w:w="0" w:type="dxa"/>
          </w:tblCellMar>
        </w:tblPrEx>
        <w:trPr>
          <w:gridAfter w:val="1"/>
          <w:wAfter w:w="7" w:type="pct"/>
          <w:trHeight w:val="3001" w:hRule="atLeast"/>
          <w:jc w:val="center"/>
        </w:trPr>
        <w:tc>
          <w:tcPr>
            <w:tcW w:w="243" w:type="pct"/>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line="23" w:lineRule="atLeas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协议管理</w:t>
            </w:r>
          </w:p>
        </w:tc>
        <w:tc>
          <w:tcPr>
            <w:tcW w:w="237"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spacing w:line="23" w:lineRule="atLeas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基础管理</w:t>
            </w:r>
          </w:p>
        </w:tc>
        <w:tc>
          <w:tcPr>
            <w:tcW w:w="284"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spacing w:line="23" w:lineRule="atLeas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配合</w:t>
            </w:r>
          </w:p>
          <w:p>
            <w:pPr>
              <w:spacing w:line="23" w:lineRule="atLeas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监管</w:t>
            </w:r>
          </w:p>
        </w:tc>
        <w:tc>
          <w:tcPr>
            <w:tcW w:w="287"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center"/>
              <w:textAlignment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10</w:t>
            </w:r>
          </w:p>
        </w:tc>
        <w:tc>
          <w:tcPr>
            <w:tcW w:w="267"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eastAsia="zh-CN"/>
              </w:rPr>
              <w:t>10</w:t>
            </w:r>
            <w:r>
              <w:rPr>
                <w:rFonts w:hint="eastAsia" w:ascii="仿宋_GB2312" w:hAnsi="仿宋_GB2312" w:eastAsia="仿宋_GB2312" w:cs="仿宋_GB2312"/>
                <w:color w:val="auto"/>
                <w:sz w:val="21"/>
                <w:szCs w:val="21"/>
              </w:rPr>
              <w:t>‰</w:t>
            </w:r>
          </w:p>
        </w:tc>
        <w:tc>
          <w:tcPr>
            <w:tcW w:w="1283"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spacing w:line="23" w:lineRule="atLeast"/>
              <w:jc w:val="both"/>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配合医保经办机构医保费用审核、稽核检查、绩效考核等工作，接受医保部 门监督检查，并提供相关材料。</w:t>
            </w:r>
          </w:p>
        </w:tc>
        <w:tc>
          <w:tcPr>
            <w:tcW w:w="1308"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both"/>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1.《医疗保障基金使用监督管理条例》；2.《医疗机构医疗保障定点管理暂行办法》；3. 《青海省医疗保障定点医疗机构服务协议（2019版）》。</w:t>
            </w:r>
          </w:p>
          <w:p>
            <w:pPr>
              <w:jc w:val="both"/>
              <w:rPr>
                <w:rFonts w:hint="default" w:ascii="仿宋_GB2312" w:hAnsi="仿宋_GB2312" w:eastAsia="仿宋_GB2312" w:cs="仿宋_GB2312"/>
                <w:color w:val="auto"/>
                <w:sz w:val="21"/>
                <w:szCs w:val="21"/>
                <w:lang w:val="en-US" w:eastAsia="zh-CN"/>
              </w:rPr>
            </w:pPr>
          </w:p>
        </w:tc>
        <w:tc>
          <w:tcPr>
            <w:tcW w:w="1079"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both"/>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按照规定提供准确的医保监管信息资料且配合监督检查，得分；未按照规定提供医保监管信息资料且不配合监督检查、提交材料不及时并以不合理理由拒不提供材料的，均不得分。</w:t>
            </w:r>
          </w:p>
        </w:tc>
      </w:tr>
      <w:tr>
        <w:tblPrEx>
          <w:tblCellMar>
            <w:top w:w="0" w:type="dxa"/>
            <w:left w:w="0" w:type="dxa"/>
            <w:bottom w:w="0" w:type="dxa"/>
            <w:right w:w="0" w:type="dxa"/>
          </w:tblCellMar>
        </w:tblPrEx>
        <w:trPr>
          <w:gridAfter w:val="1"/>
          <w:wAfter w:w="7" w:type="pct"/>
          <w:trHeight w:val="1750" w:hRule="atLeast"/>
          <w:jc w:val="center"/>
        </w:trPr>
        <w:tc>
          <w:tcPr>
            <w:tcW w:w="243" w:type="pct"/>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line="23" w:lineRule="atLeas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协议管理</w:t>
            </w:r>
          </w:p>
        </w:tc>
        <w:tc>
          <w:tcPr>
            <w:tcW w:w="237"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spacing w:line="23" w:lineRule="atLeas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基础管理</w:t>
            </w:r>
          </w:p>
        </w:tc>
        <w:tc>
          <w:tcPr>
            <w:tcW w:w="284"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spacing w:line="23" w:lineRule="atLeas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参加</w:t>
            </w:r>
          </w:p>
          <w:p>
            <w:pPr>
              <w:spacing w:line="23" w:lineRule="atLeas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培训</w:t>
            </w:r>
          </w:p>
        </w:tc>
        <w:tc>
          <w:tcPr>
            <w:tcW w:w="287"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center"/>
              <w:textAlignment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10</w:t>
            </w:r>
          </w:p>
        </w:tc>
        <w:tc>
          <w:tcPr>
            <w:tcW w:w="267"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eastAsia="zh-CN"/>
              </w:rPr>
              <w:t>10</w:t>
            </w:r>
            <w:r>
              <w:rPr>
                <w:rFonts w:hint="eastAsia" w:ascii="仿宋_GB2312" w:hAnsi="仿宋_GB2312" w:eastAsia="仿宋_GB2312" w:cs="仿宋_GB2312"/>
                <w:color w:val="auto"/>
                <w:sz w:val="21"/>
                <w:szCs w:val="21"/>
              </w:rPr>
              <w:t>‰</w:t>
            </w:r>
          </w:p>
        </w:tc>
        <w:tc>
          <w:tcPr>
            <w:tcW w:w="1283"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spacing w:line="23" w:lineRule="atLeast"/>
              <w:jc w:val="both"/>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 xml:space="preserve"> 参加由医保行政部门或经办机构组织的培训。</w:t>
            </w:r>
          </w:p>
        </w:tc>
        <w:tc>
          <w:tcPr>
            <w:tcW w:w="1308"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both"/>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《医疗机构医疗保障定点管理暂行办法》。</w:t>
            </w:r>
          </w:p>
        </w:tc>
        <w:tc>
          <w:tcPr>
            <w:tcW w:w="1079"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both"/>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按照</w:t>
            </w:r>
            <w:r>
              <w:rPr>
                <w:rFonts w:hint="eastAsia" w:ascii="仿宋_GB2312" w:hAnsi="仿宋_GB2312" w:eastAsia="仿宋_GB2312" w:cs="仿宋_GB2312"/>
                <w:color w:val="auto"/>
                <w:sz w:val="21"/>
                <w:szCs w:val="21"/>
                <w:lang w:val="en-US" w:eastAsia="zh-CN"/>
              </w:rPr>
              <w:t>要求参加培训的</w:t>
            </w:r>
            <w:r>
              <w:rPr>
                <w:rFonts w:hint="eastAsia" w:ascii="仿宋_GB2312" w:hAnsi="仿宋_GB2312" w:eastAsia="仿宋_GB2312" w:cs="仿宋_GB2312"/>
                <w:color w:val="auto"/>
                <w:sz w:val="21"/>
                <w:szCs w:val="21"/>
                <w:lang w:eastAsia="zh-CN"/>
              </w:rPr>
              <w:t>，得分；未按照</w:t>
            </w:r>
            <w:r>
              <w:rPr>
                <w:rFonts w:hint="eastAsia" w:ascii="仿宋_GB2312" w:hAnsi="仿宋_GB2312" w:eastAsia="仿宋_GB2312" w:cs="仿宋_GB2312"/>
                <w:color w:val="auto"/>
                <w:sz w:val="21"/>
                <w:szCs w:val="21"/>
                <w:lang w:val="en-US" w:eastAsia="zh-CN"/>
              </w:rPr>
              <w:t>要求参加培训的</w:t>
            </w:r>
            <w:r>
              <w:rPr>
                <w:rFonts w:hint="eastAsia" w:ascii="仿宋_GB2312" w:hAnsi="仿宋_GB2312" w:eastAsia="仿宋_GB2312" w:cs="仿宋_GB2312"/>
                <w:color w:val="auto"/>
                <w:sz w:val="21"/>
                <w:szCs w:val="21"/>
                <w:lang w:eastAsia="zh-CN"/>
              </w:rPr>
              <w:t>，不得分。</w:t>
            </w:r>
          </w:p>
        </w:tc>
      </w:tr>
      <w:tr>
        <w:tblPrEx>
          <w:tblCellMar>
            <w:top w:w="0" w:type="dxa"/>
            <w:left w:w="0" w:type="dxa"/>
            <w:bottom w:w="0" w:type="dxa"/>
            <w:right w:w="0" w:type="dxa"/>
          </w:tblCellMar>
        </w:tblPrEx>
        <w:trPr>
          <w:gridAfter w:val="1"/>
          <w:wAfter w:w="7" w:type="pct"/>
          <w:trHeight w:val="23" w:hRule="atLeast"/>
          <w:jc w:val="center"/>
        </w:trPr>
        <w:tc>
          <w:tcPr>
            <w:tcW w:w="243" w:type="pct"/>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line="23" w:lineRule="atLeas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协议管理</w:t>
            </w:r>
          </w:p>
        </w:tc>
        <w:tc>
          <w:tcPr>
            <w:tcW w:w="237"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spacing w:line="23" w:lineRule="atLeas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基础管理</w:t>
            </w:r>
          </w:p>
        </w:tc>
        <w:tc>
          <w:tcPr>
            <w:tcW w:w="284"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spacing w:line="23" w:lineRule="atLeas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宣传</w:t>
            </w:r>
          </w:p>
          <w:p>
            <w:pPr>
              <w:spacing w:line="23" w:lineRule="atLeas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咨询</w:t>
            </w:r>
          </w:p>
        </w:tc>
        <w:tc>
          <w:tcPr>
            <w:tcW w:w="287"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center"/>
              <w:textAlignment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10</w:t>
            </w:r>
          </w:p>
        </w:tc>
        <w:tc>
          <w:tcPr>
            <w:tcW w:w="267"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eastAsia="zh-CN"/>
              </w:rPr>
              <w:t>10</w:t>
            </w:r>
            <w:r>
              <w:rPr>
                <w:rFonts w:hint="eastAsia" w:ascii="仿宋_GB2312" w:hAnsi="仿宋_GB2312" w:eastAsia="仿宋_GB2312" w:cs="仿宋_GB2312"/>
                <w:color w:val="auto"/>
                <w:sz w:val="21"/>
                <w:szCs w:val="21"/>
              </w:rPr>
              <w:t>‰</w:t>
            </w:r>
          </w:p>
        </w:tc>
        <w:tc>
          <w:tcPr>
            <w:tcW w:w="1283"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spacing w:line="23" w:lineRule="atLeast"/>
              <w:jc w:val="both"/>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开展医保方面宣传并及时更新内容；提供相关咨询服务。</w:t>
            </w:r>
          </w:p>
        </w:tc>
        <w:tc>
          <w:tcPr>
            <w:tcW w:w="1308"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both"/>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 xml:space="preserve">《青海省医疗保障定点医疗机构服务协议（2019版）》。 </w:t>
            </w:r>
          </w:p>
          <w:p>
            <w:pPr>
              <w:jc w:val="both"/>
              <w:rPr>
                <w:rFonts w:hint="eastAsia" w:ascii="仿宋_GB2312" w:hAnsi="仿宋_GB2312" w:eastAsia="仿宋_GB2312" w:cs="仿宋_GB2312"/>
                <w:color w:val="auto"/>
                <w:sz w:val="21"/>
                <w:szCs w:val="21"/>
                <w:lang w:eastAsia="zh-CN"/>
              </w:rPr>
            </w:pPr>
          </w:p>
        </w:tc>
        <w:tc>
          <w:tcPr>
            <w:tcW w:w="1079"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both"/>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按照规定进行</w:t>
            </w:r>
            <w:r>
              <w:rPr>
                <w:rFonts w:hint="eastAsia" w:ascii="仿宋_GB2312" w:hAnsi="仿宋_GB2312" w:eastAsia="仿宋_GB2312" w:cs="仿宋_GB2312"/>
                <w:color w:val="auto"/>
                <w:sz w:val="21"/>
                <w:szCs w:val="21"/>
                <w:lang w:val="en-US" w:eastAsia="zh-CN"/>
              </w:rPr>
              <w:t>的</w:t>
            </w:r>
            <w:r>
              <w:rPr>
                <w:rFonts w:hint="eastAsia" w:ascii="仿宋_GB2312" w:hAnsi="仿宋_GB2312" w:eastAsia="仿宋_GB2312" w:cs="仿宋_GB2312"/>
                <w:color w:val="auto"/>
                <w:sz w:val="21"/>
                <w:szCs w:val="21"/>
                <w:lang w:eastAsia="zh-CN"/>
              </w:rPr>
              <w:t>，得分；未按照规定进行</w:t>
            </w:r>
            <w:r>
              <w:rPr>
                <w:rFonts w:hint="eastAsia" w:ascii="仿宋_GB2312" w:hAnsi="仿宋_GB2312" w:eastAsia="仿宋_GB2312" w:cs="仿宋_GB2312"/>
                <w:color w:val="auto"/>
                <w:sz w:val="21"/>
                <w:szCs w:val="21"/>
                <w:lang w:val="en-US" w:eastAsia="zh-CN"/>
              </w:rPr>
              <w:t>的</w:t>
            </w:r>
            <w:r>
              <w:rPr>
                <w:rFonts w:hint="eastAsia" w:ascii="仿宋_GB2312" w:hAnsi="仿宋_GB2312" w:eastAsia="仿宋_GB2312" w:cs="仿宋_GB2312"/>
                <w:color w:val="auto"/>
                <w:sz w:val="21"/>
                <w:szCs w:val="21"/>
                <w:lang w:eastAsia="zh-CN"/>
              </w:rPr>
              <w:t>，不得分。</w:t>
            </w:r>
          </w:p>
        </w:tc>
      </w:tr>
      <w:tr>
        <w:tblPrEx>
          <w:tblCellMar>
            <w:top w:w="0" w:type="dxa"/>
            <w:left w:w="0" w:type="dxa"/>
            <w:bottom w:w="0" w:type="dxa"/>
            <w:right w:w="0" w:type="dxa"/>
          </w:tblCellMar>
        </w:tblPrEx>
        <w:trPr>
          <w:gridAfter w:val="1"/>
          <w:wAfter w:w="7" w:type="pct"/>
          <w:trHeight w:val="1371" w:hRule="atLeast"/>
          <w:jc w:val="center"/>
        </w:trPr>
        <w:tc>
          <w:tcPr>
            <w:tcW w:w="243" w:type="pct"/>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line="23" w:lineRule="atLeas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协议管理</w:t>
            </w:r>
          </w:p>
        </w:tc>
        <w:tc>
          <w:tcPr>
            <w:tcW w:w="237"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spacing w:line="23" w:lineRule="atLeas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基础管理</w:t>
            </w:r>
          </w:p>
        </w:tc>
        <w:tc>
          <w:tcPr>
            <w:tcW w:w="284"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spacing w:line="23" w:lineRule="atLeas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资料</w:t>
            </w:r>
          </w:p>
          <w:p>
            <w:pPr>
              <w:spacing w:line="23" w:lineRule="atLeas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保管</w:t>
            </w:r>
          </w:p>
        </w:tc>
        <w:tc>
          <w:tcPr>
            <w:tcW w:w="287"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center"/>
              <w:textAlignment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10</w:t>
            </w:r>
          </w:p>
        </w:tc>
        <w:tc>
          <w:tcPr>
            <w:tcW w:w="267"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eastAsia="zh-CN"/>
              </w:rPr>
              <w:t>10</w:t>
            </w:r>
            <w:r>
              <w:rPr>
                <w:rFonts w:hint="eastAsia" w:ascii="仿宋_GB2312" w:hAnsi="仿宋_GB2312" w:eastAsia="仿宋_GB2312" w:cs="仿宋_GB2312"/>
                <w:color w:val="auto"/>
                <w:sz w:val="21"/>
                <w:szCs w:val="21"/>
              </w:rPr>
              <w:t>‰</w:t>
            </w:r>
          </w:p>
        </w:tc>
        <w:tc>
          <w:tcPr>
            <w:tcW w:w="1283"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spacing w:line="23" w:lineRule="atLeast"/>
              <w:jc w:val="both"/>
              <w:textAlignment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妥善保管财务账目、会计凭证、处方、病历、治疗检查记录、费用明细、药品和医用耗材出入库记录等</w:t>
            </w:r>
            <w:r>
              <w:rPr>
                <w:rFonts w:hint="eastAsia" w:ascii="仿宋_GB2312" w:hAnsi="仿宋_GB2312" w:eastAsia="仿宋_GB2312" w:cs="仿宋_GB2312"/>
                <w:color w:val="auto"/>
                <w:sz w:val="21"/>
                <w:szCs w:val="21"/>
                <w:lang w:val="en-US" w:eastAsia="zh-CN"/>
              </w:rPr>
              <w:t>资料</w:t>
            </w:r>
          </w:p>
        </w:tc>
        <w:tc>
          <w:tcPr>
            <w:tcW w:w="1308"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both"/>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val="en-US" w:eastAsia="zh-CN"/>
              </w:rPr>
              <w:t>1.</w:t>
            </w:r>
            <w:r>
              <w:rPr>
                <w:rFonts w:hint="eastAsia" w:ascii="仿宋_GB2312" w:hAnsi="仿宋_GB2312" w:eastAsia="仿宋_GB2312" w:cs="仿宋_GB2312"/>
                <w:color w:val="auto"/>
                <w:sz w:val="21"/>
                <w:szCs w:val="21"/>
                <w:lang w:eastAsia="zh-CN"/>
              </w:rPr>
              <w:t xml:space="preserve"> 《医疗保障基金使用监督管理条例》；</w:t>
            </w:r>
          </w:p>
          <w:p>
            <w:pPr>
              <w:jc w:val="both"/>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val="en-US" w:eastAsia="zh-CN"/>
              </w:rPr>
              <w:t>2.</w:t>
            </w:r>
            <w:r>
              <w:rPr>
                <w:rFonts w:hint="eastAsia" w:ascii="仿宋_GB2312" w:hAnsi="仿宋_GB2312" w:eastAsia="仿宋_GB2312" w:cs="仿宋_GB2312"/>
                <w:color w:val="auto"/>
                <w:sz w:val="21"/>
                <w:szCs w:val="21"/>
                <w:lang w:eastAsia="zh-CN"/>
              </w:rPr>
              <w:t>《青海省医疗保障定点医疗机构服务协议（2019版）》。</w:t>
            </w:r>
          </w:p>
        </w:tc>
        <w:tc>
          <w:tcPr>
            <w:tcW w:w="1079"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both"/>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资料保管齐全的，得分；资料保管不齐全的，不得分。</w:t>
            </w:r>
          </w:p>
        </w:tc>
      </w:tr>
      <w:tr>
        <w:tblPrEx>
          <w:tblCellMar>
            <w:top w:w="0" w:type="dxa"/>
            <w:left w:w="0" w:type="dxa"/>
            <w:bottom w:w="0" w:type="dxa"/>
            <w:right w:w="0" w:type="dxa"/>
          </w:tblCellMar>
        </w:tblPrEx>
        <w:trPr>
          <w:gridAfter w:val="1"/>
          <w:wAfter w:w="7" w:type="pct"/>
          <w:trHeight w:val="2070" w:hRule="atLeast"/>
          <w:jc w:val="center"/>
        </w:trPr>
        <w:tc>
          <w:tcPr>
            <w:tcW w:w="243" w:type="pct"/>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line="23" w:lineRule="atLeas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协议管理</w:t>
            </w:r>
          </w:p>
        </w:tc>
        <w:tc>
          <w:tcPr>
            <w:tcW w:w="237"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spacing w:line="23" w:lineRule="atLeas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基础管理</w:t>
            </w:r>
          </w:p>
        </w:tc>
        <w:tc>
          <w:tcPr>
            <w:tcW w:w="284"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spacing w:line="23" w:lineRule="atLeas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医保</w:t>
            </w:r>
          </w:p>
          <w:p>
            <w:pPr>
              <w:spacing w:line="23" w:lineRule="atLeas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目录</w:t>
            </w:r>
          </w:p>
        </w:tc>
        <w:tc>
          <w:tcPr>
            <w:tcW w:w="287"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center"/>
              <w:textAlignment w:val="center"/>
              <w:rPr>
                <w:rFonts w:hint="default" w:ascii="仿宋_GB2312" w:hAnsi="仿宋_GB2312" w:eastAsia="仿宋_GB2312" w:cs="仿宋_GB2312"/>
                <w:color w:val="auto"/>
                <w:sz w:val="21"/>
                <w:szCs w:val="21"/>
                <w:lang w:val="en-US"/>
              </w:rPr>
            </w:pPr>
            <w:r>
              <w:rPr>
                <w:rFonts w:hint="eastAsia" w:ascii="仿宋_GB2312" w:hAnsi="仿宋_GB2312" w:eastAsia="仿宋_GB2312" w:cs="仿宋_GB2312"/>
                <w:color w:val="auto"/>
                <w:sz w:val="21"/>
                <w:szCs w:val="21"/>
                <w:lang w:val="en-US" w:eastAsia="zh-CN"/>
              </w:rPr>
              <w:t>50</w:t>
            </w:r>
          </w:p>
        </w:tc>
        <w:tc>
          <w:tcPr>
            <w:tcW w:w="267"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rPr>
              <w:t>50</w:t>
            </w:r>
            <w:r>
              <w:rPr>
                <w:rFonts w:hint="eastAsia" w:ascii="仿宋_GB2312" w:hAnsi="仿宋_GB2312" w:eastAsia="仿宋_GB2312" w:cs="仿宋_GB2312"/>
                <w:color w:val="auto"/>
                <w:sz w:val="21"/>
                <w:szCs w:val="21"/>
              </w:rPr>
              <w:t>‰</w:t>
            </w:r>
          </w:p>
        </w:tc>
        <w:tc>
          <w:tcPr>
            <w:tcW w:w="1283"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spacing w:line="23" w:lineRule="atLeast"/>
              <w:jc w:val="both"/>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严格执行医保药品、医用耗材和医疗服务设施等目录；</w:t>
            </w:r>
          </w:p>
          <w:p>
            <w:pPr>
              <w:spacing w:line="23" w:lineRule="atLeast"/>
              <w:jc w:val="both"/>
              <w:textAlignment w:val="center"/>
              <w:rPr>
                <w:rFonts w:hint="eastAsia" w:ascii="仿宋_GB2312" w:hAnsi="仿宋_GB2312" w:eastAsia="仿宋_GB2312" w:cs="仿宋_GB2312"/>
                <w:color w:val="auto"/>
                <w:sz w:val="21"/>
                <w:szCs w:val="21"/>
                <w:lang w:val="en-US" w:eastAsia="zh-CN"/>
              </w:rPr>
            </w:pPr>
          </w:p>
        </w:tc>
        <w:tc>
          <w:tcPr>
            <w:tcW w:w="1308"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both"/>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val="en-US" w:eastAsia="zh-CN"/>
              </w:rPr>
              <w:t>1.</w:t>
            </w:r>
            <w:r>
              <w:rPr>
                <w:rFonts w:hint="eastAsia" w:ascii="仿宋_GB2312" w:hAnsi="仿宋_GB2312" w:eastAsia="仿宋_GB2312" w:cs="仿宋_GB2312"/>
                <w:color w:val="auto"/>
                <w:sz w:val="21"/>
                <w:szCs w:val="21"/>
                <w:lang w:eastAsia="zh-CN"/>
              </w:rPr>
              <w:t xml:space="preserve">《医疗机构医疗保障定点管理暂行办法》； </w:t>
            </w:r>
          </w:p>
          <w:p>
            <w:pPr>
              <w:jc w:val="both"/>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val="en-US" w:eastAsia="zh-CN"/>
              </w:rPr>
              <w:t>2.</w:t>
            </w:r>
            <w:r>
              <w:rPr>
                <w:rFonts w:hint="eastAsia" w:ascii="仿宋_GB2312" w:hAnsi="仿宋_GB2312" w:eastAsia="仿宋_GB2312" w:cs="仿宋_GB2312"/>
                <w:color w:val="auto"/>
                <w:sz w:val="21"/>
                <w:szCs w:val="21"/>
                <w:lang w:eastAsia="zh-CN"/>
              </w:rPr>
              <w:t xml:space="preserve">《青海省医疗保障定点医疗机构服务协议（2019版）》。 </w:t>
            </w:r>
          </w:p>
        </w:tc>
        <w:tc>
          <w:tcPr>
            <w:tcW w:w="1079"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both"/>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按照规定</w:t>
            </w:r>
            <w:r>
              <w:rPr>
                <w:rFonts w:hint="eastAsia" w:ascii="仿宋_GB2312" w:hAnsi="仿宋_GB2312" w:eastAsia="仿宋_GB2312" w:cs="仿宋_GB2312"/>
                <w:color w:val="auto"/>
                <w:sz w:val="21"/>
                <w:szCs w:val="21"/>
                <w:lang w:val="en-US" w:eastAsia="zh-CN"/>
              </w:rPr>
              <w:t>执行的</w:t>
            </w:r>
            <w:r>
              <w:rPr>
                <w:rFonts w:hint="eastAsia" w:ascii="仿宋_GB2312" w:hAnsi="仿宋_GB2312" w:eastAsia="仿宋_GB2312" w:cs="仿宋_GB2312"/>
                <w:color w:val="auto"/>
                <w:sz w:val="21"/>
                <w:szCs w:val="21"/>
                <w:lang w:eastAsia="zh-CN"/>
              </w:rPr>
              <w:t>，得分；未按照规定</w:t>
            </w:r>
            <w:r>
              <w:rPr>
                <w:rFonts w:hint="eastAsia" w:ascii="仿宋_GB2312" w:hAnsi="仿宋_GB2312" w:eastAsia="仿宋_GB2312" w:cs="仿宋_GB2312"/>
                <w:color w:val="auto"/>
                <w:sz w:val="21"/>
                <w:szCs w:val="21"/>
                <w:lang w:val="en-US" w:eastAsia="zh-CN"/>
              </w:rPr>
              <w:t>执行的</w:t>
            </w:r>
            <w:r>
              <w:rPr>
                <w:rFonts w:hint="eastAsia" w:ascii="仿宋_GB2312" w:hAnsi="仿宋_GB2312" w:eastAsia="仿宋_GB2312" w:cs="仿宋_GB2312"/>
                <w:color w:val="auto"/>
                <w:sz w:val="21"/>
                <w:szCs w:val="21"/>
                <w:lang w:eastAsia="zh-CN"/>
              </w:rPr>
              <w:t>，不得分。</w:t>
            </w:r>
          </w:p>
        </w:tc>
      </w:tr>
      <w:tr>
        <w:tblPrEx>
          <w:tblCellMar>
            <w:top w:w="0" w:type="dxa"/>
            <w:left w:w="0" w:type="dxa"/>
            <w:bottom w:w="0" w:type="dxa"/>
            <w:right w:w="0" w:type="dxa"/>
          </w:tblCellMar>
        </w:tblPrEx>
        <w:trPr>
          <w:gridAfter w:val="1"/>
          <w:wAfter w:w="7" w:type="pct"/>
          <w:trHeight w:val="2275" w:hRule="exact"/>
          <w:jc w:val="center"/>
        </w:trPr>
        <w:tc>
          <w:tcPr>
            <w:tcW w:w="243" w:type="pct"/>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line="23" w:lineRule="atLeas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协议管理</w:t>
            </w:r>
          </w:p>
        </w:tc>
        <w:tc>
          <w:tcPr>
            <w:tcW w:w="237"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spacing w:line="23" w:lineRule="atLeas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基础管理</w:t>
            </w:r>
          </w:p>
        </w:tc>
        <w:tc>
          <w:tcPr>
            <w:tcW w:w="284"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spacing w:line="23" w:lineRule="atLeas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集中</w:t>
            </w:r>
          </w:p>
          <w:p>
            <w:pPr>
              <w:spacing w:line="23" w:lineRule="atLeas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采购</w:t>
            </w:r>
          </w:p>
        </w:tc>
        <w:tc>
          <w:tcPr>
            <w:tcW w:w="287"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rPr>
              <w:t>40</w:t>
            </w:r>
          </w:p>
        </w:tc>
        <w:tc>
          <w:tcPr>
            <w:tcW w:w="267"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rPr>
              <w:t>40</w:t>
            </w:r>
            <w:r>
              <w:rPr>
                <w:rFonts w:hint="eastAsia" w:ascii="仿宋_GB2312" w:hAnsi="仿宋_GB2312" w:eastAsia="仿宋_GB2312" w:cs="仿宋_GB2312"/>
                <w:color w:val="auto"/>
                <w:sz w:val="21"/>
                <w:szCs w:val="21"/>
              </w:rPr>
              <w:t>‰</w:t>
            </w:r>
          </w:p>
        </w:tc>
        <w:tc>
          <w:tcPr>
            <w:tcW w:w="1283"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spacing w:line="23" w:lineRule="atLeast"/>
              <w:jc w:val="both"/>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执行集中采购政策，医保支付药品、耗材在医保部门规定的平台上采购，优先使用中选的药品和耗材。</w:t>
            </w:r>
          </w:p>
        </w:tc>
        <w:tc>
          <w:tcPr>
            <w:tcW w:w="1308"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both"/>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《青海省医疗保障定点医疗机构服务协议（2019版）》，</w:t>
            </w:r>
            <w:r>
              <w:rPr>
                <w:rFonts w:hint="eastAsia" w:ascii="仿宋_GB2312" w:hAnsi="仿宋_GB2312" w:eastAsia="仿宋_GB2312" w:cs="仿宋_GB2312"/>
                <w:color w:val="auto"/>
                <w:sz w:val="21"/>
                <w:szCs w:val="21"/>
                <w:lang w:val="en-US" w:eastAsia="zh-CN"/>
              </w:rPr>
              <w:t>有关医保集采政策文件</w:t>
            </w:r>
            <w:r>
              <w:rPr>
                <w:rFonts w:hint="eastAsia" w:ascii="仿宋_GB2312" w:hAnsi="仿宋_GB2312" w:eastAsia="仿宋_GB2312" w:cs="仿宋_GB2312"/>
                <w:color w:val="auto"/>
                <w:sz w:val="21"/>
                <w:szCs w:val="21"/>
                <w:lang w:eastAsia="zh-CN"/>
              </w:rPr>
              <w:t xml:space="preserve">。 </w:t>
            </w:r>
          </w:p>
          <w:p>
            <w:pPr>
              <w:jc w:val="both"/>
              <w:rPr>
                <w:rFonts w:hint="eastAsia" w:ascii="仿宋_GB2312" w:hAnsi="仿宋_GB2312" w:eastAsia="仿宋_GB2312" w:cs="仿宋_GB2312"/>
                <w:color w:val="auto"/>
                <w:sz w:val="21"/>
                <w:szCs w:val="21"/>
                <w:lang w:eastAsia="zh-CN"/>
              </w:rPr>
            </w:pPr>
          </w:p>
        </w:tc>
        <w:tc>
          <w:tcPr>
            <w:tcW w:w="1079"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both"/>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按照规定</w:t>
            </w:r>
            <w:r>
              <w:rPr>
                <w:rFonts w:hint="eastAsia" w:ascii="仿宋_GB2312" w:hAnsi="仿宋_GB2312" w:eastAsia="仿宋_GB2312" w:cs="仿宋_GB2312"/>
                <w:color w:val="auto"/>
                <w:sz w:val="21"/>
                <w:szCs w:val="21"/>
                <w:lang w:val="en-US" w:eastAsia="zh-CN"/>
              </w:rPr>
              <w:t>执行的</w:t>
            </w:r>
            <w:r>
              <w:rPr>
                <w:rFonts w:hint="eastAsia" w:ascii="仿宋_GB2312" w:hAnsi="仿宋_GB2312" w:eastAsia="仿宋_GB2312" w:cs="仿宋_GB2312"/>
                <w:color w:val="auto"/>
                <w:sz w:val="21"/>
                <w:szCs w:val="21"/>
                <w:lang w:eastAsia="zh-CN"/>
              </w:rPr>
              <w:t>，得分；未按照规定</w:t>
            </w:r>
            <w:r>
              <w:rPr>
                <w:rFonts w:hint="eastAsia" w:ascii="仿宋_GB2312" w:hAnsi="仿宋_GB2312" w:eastAsia="仿宋_GB2312" w:cs="仿宋_GB2312"/>
                <w:color w:val="auto"/>
                <w:sz w:val="21"/>
                <w:szCs w:val="21"/>
                <w:lang w:val="en-US" w:eastAsia="zh-CN"/>
              </w:rPr>
              <w:t>执行的</w:t>
            </w:r>
            <w:r>
              <w:rPr>
                <w:rFonts w:hint="eastAsia" w:ascii="仿宋_GB2312" w:hAnsi="仿宋_GB2312" w:eastAsia="仿宋_GB2312" w:cs="仿宋_GB2312"/>
                <w:color w:val="auto"/>
                <w:sz w:val="21"/>
                <w:szCs w:val="21"/>
                <w:lang w:eastAsia="zh-CN"/>
              </w:rPr>
              <w:t>，不得分。</w:t>
            </w:r>
          </w:p>
        </w:tc>
      </w:tr>
      <w:tr>
        <w:tblPrEx>
          <w:tblCellMar>
            <w:top w:w="0" w:type="dxa"/>
            <w:left w:w="0" w:type="dxa"/>
            <w:bottom w:w="0" w:type="dxa"/>
            <w:right w:w="0" w:type="dxa"/>
          </w:tblCellMar>
        </w:tblPrEx>
        <w:trPr>
          <w:gridAfter w:val="1"/>
          <w:wAfter w:w="7" w:type="pct"/>
          <w:trHeight w:val="1955" w:hRule="atLeast"/>
          <w:jc w:val="center"/>
        </w:trPr>
        <w:tc>
          <w:tcPr>
            <w:tcW w:w="243" w:type="pct"/>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line="23" w:lineRule="atLeast"/>
              <w:jc w:val="center"/>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协议管理</w:t>
            </w:r>
          </w:p>
        </w:tc>
        <w:tc>
          <w:tcPr>
            <w:tcW w:w="237"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spacing w:line="23" w:lineRule="atLeast"/>
              <w:jc w:val="center"/>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医疗管理</w:t>
            </w:r>
          </w:p>
        </w:tc>
        <w:tc>
          <w:tcPr>
            <w:tcW w:w="284"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spacing w:line="23" w:lineRule="atLeast"/>
              <w:jc w:val="center"/>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身份</w:t>
            </w:r>
          </w:p>
          <w:p>
            <w:pPr>
              <w:spacing w:line="23" w:lineRule="atLeast"/>
              <w:jc w:val="center"/>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核实</w:t>
            </w:r>
          </w:p>
        </w:tc>
        <w:tc>
          <w:tcPr>
            <w:tcW w:w="287"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center"/>
              <w:textAlignment w:val="center"/>
              <w:rPr>
                <w:rFonts w:hint="eastAsia" w:ascii="仿宋_GB2312" w:hAnsi="仿宋_GB2312" w:eastAsia="仿宋_GB2312" w:cs="仿宋_GB2312"/>
                <w:color w:val="000000" w:themeColor="text1"/>
                <w:sz w:val="21"/>
                <w:szCs w:val="21"/>
                <w:lang w:eastAsia="zh-CN"/>
                <w14:textFill>
                  <w14:solidFill>
                    <w14:schemeClr w14:val="tx1"/>
                  </w14:solidFill>
                </w14:textFill>
              </w:rPr>
            </w:pPr>
            <w:r>
              <w:rPr>
                <w:rFonts w:hint="eastAsia" w:ascii="仿宋_GB2312" w:hAnsi="仿宋_GB2312" w:eastAsia="仿宋_GB2312" w:cs="仿宋_GB2312"/>
                <w:color w:val="000000" w:themeColor="text1"/>
                <w:sz w:val="21"/>
                <w:szCs w:val="21"/>
                <w:lang w:eastAsia="zh-CN"/>
                <w14:textFill>
                  <w14:solidFill>
                    <w14:schemeClr w14:val="tx1"/>
                  </w14:solidFill>
                </w14:textFill>
              </w:rPr>
              <w:t>10</w:t>
            </w:r>
          </w:p>
        </w:tc>
        <w:tc>
          <w:tcPr>
            <w:tcW w:w="267"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center"/>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lang w:eastAsia="zh-CN"/>
                <w14:textFill>
                  <w14:solidFill>
                    <w14:schemeClr w14:val="tx1"/>
                  </w14:solidFill>
                </w14:textFill>
              </w:rPr>
              <w:t>10</w:t>
            </w:r>
            <w:r>
              <w:rPr>
                <w:rFonts w:hint="eastAsia" w:ascii="仿宋_GB2312" w:hAnsi="仿宋_GB2312" w:eastAsia="仿宋_GB2312" w:cs="仿宋_GB2312"/>
                <w:color w:val="000000" w:themeColor="text1"/>
                <w:sz w:val="21"/>
                <w:szCs w:val="21"/>
                <w14:textFill>
                  <w14:solidFill>
                    <w14:schemeClr w14:val="tx1"/>
                  </w14:solidFill>
                </w14:textFill>
              </w:rPr>
              <w:t>‰</w:t>
            </w:r>
          </w:p>
        </w:tc>
        <w:tc>
          <w:tcPr>
            <w:tcW w:w="1283"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spacing w:line="23" w:lineRule="atLeast"/>
              <w:jc w:val="both"/>
              <w:textAlignment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核验参保人员医保有效凭证</w:t>
            </w:r>
            <w:r>
              <w:rPr>
                <w:rFonts w:hint="eastAsia" w:ascii="仿宋_GB2312" w:hAnsi="仿宋_GB2312" w:eastAsia="仿宋_GB2312" w:cs="仿宋_GB2312"/>
                <w:color w:val="auto"/>
                <w:sz w:val="21"/>
                <w:szCs w:val="21"/>
                <w:highlight w:val="none"/>
                <w:lang w:eastAsia="zh-CN"/>
              </w:rPr>
              <w:t>，</w:t>
            </w:r>
            <w:r>
              <w:rPr>
                <w:rFonts w:hint="eastAsia" w:ascii="仿宋_GB2312" w:hAnsi="仿宋_GB2312" w:eastAsia="仿宋_GB2312" w:cs="仿宋_GB2312"/>
                <w:color w:val="auto"/>
                <w:sz w:val="21"/>
                <w:szCs w:val="21"/>
                <w:highlight w:val="none"/>
              </w:rPr>
              <w:t>执行实名就医和购药管理规定</w:t>
            </w:r>
            <w:r>
              <w:rPr>
                <w:rFonts w:hint="eastAsia" w:ascii="仿宋_GB2312" w:hAnsi="仿宋_GB2312" w:eastAsia="仿宋_GB2312" w:cs="仿宋_GB2312"/>
                <w:color w:val="auto"/>
                <w:sz w:val="21"/>
                <w:szCs w:val="21"/>
                <w:highlight w:val="none"/>
                <w:lang w:eastAsia="zh-CN"/>
              </w:rPr>
              <w:t>，</w:t>
            </w:r>
            <w:r>
              <w:rPr>
                <w:rFonts w:hint="eastAsia" w:ascii="仿宋_GB2312" w:hAnsi="仿宋_GB2312" w:eastAsia="仿宋_GB2312" w:cs="仿宋_GB2312"/>
                <w:color w:val="auto"/>
                <w:sz w:val="21"/>
                <w:szCs w:val="21"/>
                <w:highlight w:val="none"/>
                <w:lang w:val="en-US" w:eastAsia="zh-CN"/>
              </w:rPr>
              <w:t>做到人证相符</w:t>
            </w:r>
            <w:r>
              <w:rPr>
                <w:rFonts w:hint="eastAsia" w:ascii="仿宋_GB2312" w:hAnsi="仿宋_GB2312" w:eastAsia="仿宋_GB2312" w:cs="仿宋_GB2312"/>
                <w:color w:val="auto"/>
                <w:sz w:val="21"/>
                <w:szCs w:val="21"/>
                <w:highlight w:val="none"/>
              </w:rPr>
              <w:t xml:space="preserve">。 </w:t>
            </w:r>
          </w:p>
        </w:tc>
        <w:tc>
          <w:tcPr>
            <w:tcW w:w="1308"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both"/>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1.《医疗保障基金使用监督管理条例》；</w:t>
            </w:r>
          </w:p>
          <w:p>
            <w:pPr>
              <w:jc w:val="both"/>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val="en-US" w:eastAsia="zh-CN"/>
              </w:rPr>
              <w:t>2.</w:t>
            </w:r>
            <w:r>
              <w:rPr>
                <w:rFonts w:hint="eastAsia" w:ascii="仿宋_GB2312" w:hAnsi="仿宋_GB2312" w:eastAsia="仿宋_GB2312" w:cs="仿宋_GB2312"/>
                <w:color w:val="auto"/>
                <w:sz w:val="21"/>
                <w:szCs w:val="21"/>
                <w:lang w:eastAsia="zh-CN"/>
              </w:rPr>
              <w:t>《医疗机构医疗保障定点管理暂行办法》。</w:t>
            </w:r>
          </w:p>
        </w:tc>
        <w:tc>
          <w:tcPr>
            <w:tcW w:w="1079"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both"/>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按照规定核验参保人员医疗保障有效凭证，得分；未按照规定核验参保人员医疗保障有效凭证，造成医保基金损失的，不得分。</w:t>
            </w:r>
          </w:p>
        </w:tc>
      </w:tr>
      <w:tr>
        <w:tblPrEx>
          <w:tblCellMar>
            <w:top w:w="0" w:type="dxa"/>
            <w:left w:w="0" w:type="dxa"/>
            <w:bottom w:w="0" w:type="dxa"/>
            <w:right w:w="0" w:type="dxa"/>
          </w:tblCellMar>
        </w:tblPrEx>
        <w:trPr>
          <w:gridAfter w:val="1"/>
          <w:wAfter w:w="7" w:type="pct"/>
          <w:trHeight w:val="2626" w:hRule="atLeast"/>
          <w:jc w:val="center"/>
        </w:trPr>
        <w:tc>
          <w:tcPr>
            <w:tcW w:w="243" w:type="pct"/>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协议管理</w:t>
            </w:r>
          </w:p>
        </w:tc>
        <w:tc>
          <w:tcPr>
            <w:tcW w:w="237"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医疗管理</w:t>
            </w:r>
          </w:p>
        </w:tc>
        <w:tc>
          <w:tcPr>
            <w:tcW w:w="284"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spacing w:line="23" w:lineRule="atLeas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知情</w:t>
            </w:r>
          </w:p>
          <w:p>
            <w:pPr>
              <w:spacing w:line="23" w:lineRule="atLeas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同意</w:t>
            </w:r>
          </w:p>
        </w:tc>
        <w:tc>
          <w:tcPr>
            <w:tcW w:w="287"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center"/>
              <w:textAlignment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10</w:t>
            </w:r>
          </w:p>
        </w:tc>
        <w:tc>
          <w:tcPr>
            <w:tcW w:w="267"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eastAsia="zh-CN"/>
              </w:rPr>
              <w:t>10</w:t>
            </w:r>
            <w:r>
              <w:rPr>
                <w:rFonts w:hint="eastAsia" w:ascii="仿宋_GB2312" w:hAnsi="仿宋_GB2312" w:eastAsia="仿宋_GB2312" w:cs="仿宋_GB2312"/>
                <w:color w:val="auto"/>
                <w:sz w:val="21"/>
                <w:szCs w:val="21"/>
              </w:rPr>
              <w:t>‰</w:t>
            </w:r>
          </w:p>
        </w:tc>
        <w:tc>
          <w:tcPr>
            <w:tcW w:w="1283"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spacing w:line="23" w:lineRule="atLeast"/>
              <w:jc w:val="both"/>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提供医保基金支付范围以外的医药服务的，应当经参保人员或者其近亲属、 监护人同意。</w:t>
            </w:r>
          </w:p>
        </w:tc>
        <w:tc>
          <w:tcPr>
            <w:tcW w:w="1308"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both"/>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val="en-US" w:eastAsia="zh-CN"/>
              </w:rPr>
              <w:t>1.</w:t>
            </w:r>
            <w:r>
              <w:rPr>
                <w:rFonts w:hint="eastAsia" w:ascii="仿宋_GB2312" w:hAnsi="仿宋_GB2312" w:eastAsia="仿宋_GB2312" w:cs="仿宋_GB2312"/>
                <w:color w:val="auto"/>
                <w:sz w:val="21"/>
                <w:szCs w:val="21"/>
                <w:lang w:eastAsia="zh-CN"/>
              </w:rPr>
              <w:t>《医疗保障基金使用监督管理条例》；</w:t>
            </w:r>
          </w:p>
          <w:p>
            <w:pPr>
              <w:jc w:val="both"/>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val="en-US" w:eastAsia="zh-CN"/>
              </w:rPr>
              <w:t>2.</w:t>
            </w:r>
            <w:r>
              <w:rPr>
                <w:rFonts w:hint="eastAsia" w:ascii="仿宋_GB2312" w:hAnsi="仿宋_GB2312" w:eastAsia="仿宋_GB2312" w:cs="仿宋_GB2312"/>
                <w:color w:val="auto"/>
                <w:sz w:val="21"/>
                <w:szCs w:val="21"/>
                <w:lang w:eastAsia="zh-CN"/>
              </w:rPr>
              <w:t xml:space="preserve"> 《青海省医疗保障定点医疗机构服务协议（2019版）》。</w:t>
            </w:r>
          </w:p>
        </w:tc>
        <w:tc>
          <w:tcPr>
            <w:tcW w:w="1079"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both"/>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按照规定</w:t>
            </w:r>
            <w:r>
              <w:rPr>
                <w:rFonts w:hint="eastAsia" w:ascii="仿宋_GB2312" w:hAnsi="仿宋_GB2312" w:eastAsia="仿宋_GB2312" w:cs="仿宋_GB2312"/>
                <w:color w:val="auto"/>
                <w:sz w:val="21"/>
                <w:szCs w:val="21"/>
                <w:lang w:val="en-US" w:eastAsia="zh-CN"/>
              </w:rPr>
              <w:t>执行的</w:t>
            </w:r>
            <w:r>
              <w:rPr>
                <w:rFonts w:hint="eastAsia" w:ascii="仿宋_GB2312" w:hAnsi="仿宋_GB2312" w:eastAsia="仿宋_GB2312" w:cs="仿宋_GB2312"/>
                <w:color w:val="auto"/>
                <w:sz w:val="21"/>
                <w:szCs w:val="21"/>
                <w:lang w:eastAsia="zh-CN"/>
              </w:rPr>
              <w:t>，得分；</w:t>
            </w:r>
          </w:p>
          <w:p>
            <w:pPr>
              <w:jc w:val="both"/>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未按照规定</w:t>
            </w:r>
            <w:r>
              <w:rPr>
                <w:rFonts w:hint="eastAsia" w:ascii="仿宋_GB2312" w:hAnsi="仿宋_GB2312" w:eastAsia="仿宋_GB2312" w:cs="仿宋_GB2312"/>
                <w:color w:val="auto"/>
                <w:sz w:val="21"/>
                <w:szCs w:val="21"/>
                <w:lang w:val="en-US" w:eastAsia="zh-CN"/>
              </w:rPr>
              <w:t>执行的</w:t>
            </w:r>
            <w:r>
              <w:rPr>
                <w:rFonts w:hint="eastAsia" w:ascii="仿宋_GB2312" w:hAnsi="仿宋_GB2312" w:eastAsia="仿宋_GB2312" w:cs="仿宋_GB2312"/>
                <w:color w:val="auto"/>
                <w:sz w:val="21"/>
                <w:szCs w:val="21"/>
                <w:lang w:eastAsia="zh-CN"/>
              </w:rPr>
              <w:t>，不得分。</w:t>
            </w:r>
          </w:p>
        </w:tc>
      </w:tr>
      <w:tr>
        <w:tblPrEx>
          <w:tblCellMar>
            <w:top w:w="0" w:type="dxa"/>
            <w:left w:w="0" w:type="dxa"/>
            <w:bottom w:w="0" w:type="dxa"/>
            <w:right w:w="0" w:type="dxa"/>
          </w:tblCellMar>
        </w:tblPrEx>
        <w:trPr>
          <w:gridAfter w:val="1"/>
          <w:wAfter w:w="7" w:type="pct"/>
          <w:trHeight w:val="2147" w:hRule="atLeast"/>
          <w:jc w:val="center"/>
        </w:trPr>
        <w:tc>
          <w:tcPr>
            <w:tcW w:w="243" w:type="pct"/>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协议管理</w:t>
            </w:r>
          </w:p>
        </w:tc>
        <w:tc>
          <w:tcPr>
            <w:tcW w:w="237"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医疗管理</w:t>
            </w:r>
          </w:p>
        </w:tc>
        <w:tc>
          <w:tcPr>
            <w:tcW w:w="284"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spacing w:line="23" w:lineRule="atLeas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院内</w:t>
            </w:r>
          </w:p>
          <w:p>
            <w:pPr>
              <w:spacing w:line="23" w:lineRule="atLeas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制剂</w:t>
            </w:r>
          </w:p>
        </w:tc>
        <w:tc>
          <w:tcPr>
            <w:tcW w:w="287"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center"/>
              <w:textAlignment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10</w:t>
            </w:r>
          </w:p>
        </w:tc>
        <w:tc>
          <w:tcPr>
            <w:tcW w:w="267"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eastAsia="zh-CN"/>
              </w:rPr>
              <w:t>10</w:t>
            </w:r>
            <w:r>
              <w:rPr>
                <w:rFonts w:hint="eastAsia" w:ascii="仿宋_GB2312" w:hAnsi="仿宋_GB2312" w:eastAsia="仿宋_GB2312" w:cs="仿宋_GB2312"/>
                <w:color w:val="auto"/>
                <w:sz w:val="21"/>
                <w:szCs w:val="21"/>
              </w:rPr>
              <w:t>‰</w:t>
            </w:r>
          </w:p>
        </w:tc>
        <w:tc>
          <w:tcPr>
            <w:tcW w:w="1283"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spacing w:line="23" w:lineRule="atLeast"/>
              <w:jc w:val="both"/>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院内制剂经批准后进入医保用药范围。</w:t>
            </w:r>
          </w:p>
        </w:tc>
        <w:tc>
          <w:tcPr>
            <w:tcW w:w="1308"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both"/>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《青海省医疗保障定点医疗机构服务协议（2019版）》。</w:t>
            </w:r>
          </w:p>
        </w:tc>
        <w:tc>
          <w:tcPr>
            <w:tcW w:w="1079"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both"/>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按照规定</w:t>
            </w:r>
            <w:r>
              <w:rPr>
                <w:rFonts w:hint="eastAsia" w:ascii="仿宋_GB2312" w:hAnsi="仿宋_GB2312" w:eastAsia="仿宋_GB2312" w:cs="仿宋_GB2312"/>
                <w:color w:val="auto"/>
                <w:sz w:val="21"/>
                <w:szCs w:val="21"/>
                <w:lang w:val="en-US" w:eastAsia="zh-CN"/>
              </w:rPr>
              <w:t>执行的</w:t>
            </w:r>
            <w:r>
              <w:rPr>
                <w:rFonts w:hint="eastAsia" w:ascii="仿宋_GB2312" w:hAnsi="仿宋_GB2312" w:eastAsia="仿宋_GB2312" w:cs="仿宋_GB2312"/>
                <w:color w:val="auto"/>
                <w:sz w:val="21"/>
                <w:szCs w:val="21"/>
                <w:lang w:eastAsia="zh-CN"/>
              </w:rPr>
              <w:t>，得分；未按照规定</w:t>
            </w:r>
            <w:r>
              <w:rPr>
                <w:rFonts w:hint="eastAsia" w:ascii="仿宋_GB2312" w:hAnsi="仿宋_GB2312" w:eastAsia="仿宋_GB2312" w:cs="仿宋_GB2312"/>
                <w:color w:val="auto"/>
                <w:sz w:val="21"/>
                <w:szCs w:val="21"/>
                <w:lang w:val="en-US" w:eastAsia="zh-CN"/>
              </w:rPr>
              <w:t>执行的</w:t>
            </w:r>
            <w:r>
              <w:rPr>
                <w:rFonts w:hint="eastAsia" w:ascii="仿宋_GB2312" w:hAnsi="仿宋_GB2312" w:eastAsia="仿宋_GB2312" w:cs="仿宋_GB2312"/>
                <w:color w:val="auto"/>
                <w:sz w:val="21"/>
                <w:szCs w:val="21"/>
                <w:lang w:eastAsia="zh-CN"/>
              </w:rPr>
              <w:t>，不得分。</w:t>
            </w:r>
          </w:p>
        </w:tc>
      </w:tr>
      <w:tr>
        <w:tblPrEx>
          <w:tblCellMar>
            <w:top w:w="0" w:type="dxa"/>
            <w:left w:w="0" w:type="dxa"/>
            <w:bottom w:w="0" w:type="dxa"/>
            <w:right w:w="0" w:type="dxa"/>
          </w:tblCellMar>
        </w:tblPrEx>
        <w:trPr>
          <w:gridAfter w:val="1"/>
          <w:wAfter w:w="7" w:type="pct"/>
          <w:trHeight w:val="23" w:hRule="atLeast"/>
          <w:jc w:val="center"/>
        </w:trPr>
        <w:tc>
          <w:tcPr>
            <w:tcW w:w="243" w:type="pct"/>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协议管理</w:t>
            </w:r>
          </w:p>
        </w:tc>
        <w:tc>
          <w:tcPr>
            <w:tcW w:w="237"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医疗管理</w:t>
            </w:r>
          </w:p>
        </w:tc>
        <w:tc>
          <w:tcPr>
            <w:tcW w:w="284"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spacing w:line="23" w:lineRule="atLeas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合理</w:t>
            </w:r>
          </w:p>
          <w:p>
            <w:pPr>
              <w:spacing w:line="23" w:lineRule="atLeas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诊疗</w:t>
            </w:r>
          </w:p>
        </w:tc>
        <w:tc>
          <w:tcPr>
            <w:tcW w:w="287"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center"/>
              <w:textAlignment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10</w:t>
            </w:r>
          </w:p>
        </w:tc>
        <w:tc>
          <w:tcPr>
            <w:tcW w:w="267"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eastAsia="zh-CN"/>
              </w:rPr>
              <w:t>10</w:t>
            </w:r>
            <w:r>
              <w:rPr>
                <w:rFonts w:hint="eastAsia" w:ascii="仿宋_GB2312" w:hAnsi="仿宋_GB2312" w:eastAsia="仿宋_GB2312" w:cs="仿宋_GB2312"/>
                <w:color w:val="auto"/>
                <w:sz w:val="21"/>
                <w:szCs w:val="21"/>
              </w:rPr>
              <w:t>‰</w:t>
            </w:r>
          </w:p>
        </w:tc>
        <w:tc>
          <w:tcPr>
            <w:tcW w:w="1283"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spacing w:line="23" w:lineRule="atLeast"/>
              <w:jc w:val="both"/>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按照诊疗规范提供合理的、必要的医疗服务，防止过度医疗或服务不足。</w:t>
            </w:r>
          </w:p>
        </w:tc>
        <w:tc>
          <w:tcPr>
            <w:tcW w:w="1308"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both"/>
              <w:rPr>
                <w:rFonts w:hint="eastAsia" w:ascii="仿宋_GB2312" w:hAnsi="仿宋_GB2312" w:eastAsia="仿宋_GB2312" w:cs="仿宋_GB2312"/>
                <w:color w:val="auto"/>
                <w:sz w:val="21"/>
                <w:szCs w:val="21"/>
                <w:lang w:eastAsia="zh-CN"/>
              </w:rPr>
            </w:pPr>
          </w:p>
          <w:p>
            <w:pPr>
              <w:jc w:val="both"/>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val="en-US" w:eastAsia="zh-CN"/>
              </w:rPr>
              <w:t>1.</w:t>
            </w:r>
            <w:r>
              <w:rPr>
                <w:rFonts w:hint="eastAsia" w:ascii="仿宋_GB2312" w:hAnsi="仿宋_GB2312" w:eastAsia="仿宋_GB2312" w:cs="仿宋_GB2312"/>
                <w:color w:val="auto"/>
                <w:sz w:val="21"/>
                <w:szCs w:val="21"/>
                <w:lang w:eastAsia="zh-CN"/>
              </w:rPr>
              <w:t>《医疗保障基金使用监督管理条例》；</w:t>
            </w:r>
            <w:r>
              <w:rPr>
                <w:rFonts w:hint="eastAsia" w:ascii="仿宋_GB2312" w:hAnsi="仿宋_GB2312" w:eastAsia="仿宋_GB2312" w:cs="仿宋_GB2312"/>
                <w:color w:val="auto"/>
                <w:sz w:val="21"/>
                <w:szCs w:val="21"/>
                <w:lang w:val="en-US" w:eastAsia="zh-CN"/>
              </w:rPr>
              <w:t>2.</w:t>
            </w:r>
            <w:r>
              <w:rPr>
                <w:rFonts w:hint="eastAsia" w:ascii="仿宋_GB2312" w:hAnsi="仿宋_GB2312" w:eastAsia="仿宋_GB2312" w:cs="仿宋_GB2312"/>
                <w:color w:val="auto"/>
                <w:sz w:val="21"/>
                <w:szCs w:val="21"/>
                <w:lang w:eastAsia="zh-CN"/>
              </w:rPr>
              <w:t xml:space="preserve">《青海省医疗保障定点医疗机构服务协议（2019版）》。  </w:t>
            </w:r>
          </w:p>
          <w:p>
            <w:pPr>
              <w:jc w:val="both"/>
              <w:rPr>
                <w:rFonts w:hint="eastAsia" w:ascii="仿宋_GB2312" w:hAnsi="仿宋_GB2312" w:eastAsia="仿宋_GB2312" w:cs="仿宋_GB2312"/>
                <w:color w:val="auto"/>
                <w:sz w:val="21"/>
                <w:szCs w:val="21"/>
                <w:lang w:eastAsia="zh-CN"/>
              </w:rPr>
            </w:pPr>
          </w:p>
        </w:tc>
        <w:tc>
          <w:tcPr>
            <w:tcW w:w="1079"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both"/>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按照规定</w:t>
            </w:r>
            <w:r>
              <w:rPr>
                <w:rFonts w:hint="eastAsia" w:ascii="仿宋_GB2312" w:hAnsi="仿宋_GB2312" w:eastAsia="仿宋_GB2312" w:cs="仿宋_GB2312"/>
                <w:color w:val="auto"/>
                <w:sz w:val="21"/>
                <w:szCs w:val="21"/>
                <w:lang w:val="en-US" w:eastAsia="zh-CN"/>
              </w:rPr>
              <w:t>执行的</w:t>
            </w:r>
            <w:r>
              <w:rPr>
                <w:rFonts w:hint="eastAsia" w:ascii="仿宋_GB2312" w:hAnsi="仿宋_GB2312" w:eastAsia="仿宋_GB2312" w:cs="仿宋_GB2312"/>
                <w:color w:val="auto"/>
                <w:sz w:val="21"/>
                <w:szCs w:val="21"/>
                <w:lang w:eastAsia="zh-CN"/>
              </w:rPr>
              <w:t>，得分；</w:t>
            </w:r>
          </w:p>
          <w:p>
            <w:pPr>
              <w:jc w:val="both"/>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未按照规定</w:t>
            </w:r>
            <w:r>
              <w:rPr>
                <w:rFonts w:hint="eastAsia" w:ascii="仿宋_GB2312" w:hAnsi="仿宋_GB2312" w:eastAsia="仿宋_GB2312" w:cs="仿宋_GB2312"/>
                <w:color w:val="auto"/>
                <w:sz w:val="21"/>
                <w:szCs w:val="21"/>
                <w:lang w:val="en-US" w:eastAsia="zh-CN"/>
              </w:rPr>
              <w:t>执行的</w:t>
            </w:r>
            <w:r>
              <w:rPr>
                <w:rFonts w:hint="eastAsia" w:ascii="仿宋_GB2312" w:hAnsi="仿宋_GB2312" w:eastAsia="仿宋_GB2312" w:cs="仿宋_GB2312"/>
                <w:color w:val="auto"/>
                <w:sz w:val="21"/>
                <w:szCs w:val="21"/>
                <w:lang w:eastAsia="zh-CN"/>
              </w:rPr>
              <w:t>，不得分。</w:t>
            </w:r>
          </w:p>
        </w:tc>
      </w:tr>
      <w:tr>
        <w:tblPrEx>
          <w:tblCellMar>
            <w:top w:w="0" w:type="dxa"/>
            <w:left w:w="0" w:type="dxa"/>
            <w:bottom w:w="0" w:type="dxa"/>
            <w:right w:w="0" w:type="dxa"/>
          </w:tblCellMar>
        </w:tblPrEx>
        <w:trPr>
          <w:gridAfter w:val="1"/>
          <w:wAfter w:w="7" w:type="pct"/>
          <w:trHeight w:val="2062" w:hRule="atLeast"/>
          <w:jc w:val="center"/>
        </w:trPr>
        <w:tc>
          <w:tcPr>
            <w:tcW w:w="243" w:type="pct"/>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协议管理</w:t>
            </w:r>
          </w:p>
        </w:tc>
        <w:tc>
          <w:tcPr>
            <w:tcW w:w="237"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医疗管理</w:t>
            </w:r>
          </w:p>
        </w:tc>
        <w:tc>
          <w:tcPr>
            <w:tcW w:w="284"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spacing w:line="23" w:lineRule="atLeas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就诊</w:t>
            </w:r>
          </w:p>
          <w:p>
            <w:pPr>
              <w:spacing w:line="23" w:lineRule="atLeas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记录</w:t>
            </w:r>
          </w:p>
        </w:tc>
        <w:tc>
          <w:tcPr>
            <w:tcW w:w="287"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center"/>
              <w:textAlignment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10</w:t>
            </w:r>
          </w:p>
        </w:tc>
        <w:tc>
          <w:tcPr>
            <w:tcW w:w="267"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eastAsia="zh-CN"/>
              </w:rPr>
              <w:t>10</w:t>
            </w:r>
            <w:r>
              <w:rPr>
                <w:rFonts w:hint="eastAsia" w:ascii="仿宋_GB2312" w:hAnsi="仿宋_GB2312" w:eastAsia="仿宋_GB2312" w:cs="仿宋_GB2312"/>
                <w:color w:val="auto"/>
                <w:sz w:val="21"/>
                <w:szCs w:val="21"/>
              </w:rPr>
              <w:t>‰</w:t>
            </w:r>
          </w:p>
        </w:tc>
        <w:tc>
          <w:tcPr>
            <w:tcW w:w="1283"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spacing w:line="23" w:lineRule="atLeast"/>
              <w:jc w:val="both"/>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诊疗记录真实、准确、完整、清晰，与票据、费用清单等相吻合。</w:t>
            </w:r>
          </w:p>
        </w:tc>
        <w:tc>
          <w:tcPr>
            <w:tcW w:w="1308"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both"/>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《青海省医疗保障定点医疗机构服务协议（2019版）》。</w:t>
            </w:r>
          </w:p>
        </w:tc>
        <w:tc>
          <w:tcPr>
            <w:tcW w:w="1079"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both"/>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按照规定</w:t>
            </w:r>
            <w:r>
              <w:rPr>
                <w:rFonts w:hint="eastAsia" w:ascii="仿宋_GB2312" w:hAnsi="仿宋_GB2312" w:eastAsia="仿宋_GB2312" w:cs="仿宋_GB2312"/>
                <w:color w:val="auto"/>
                <w:sz w:val="21"/>
                <w:szCs w:val="21"/>
                <w:lang w:val="en-US" w:eastAsia="zh-CN"/>
              </w:rPr>
              <w:t>执行的</w:t>
            </w:r>
            <w:r>
              <w:rPr>
                <w:rFonts w:hint="eastAsia" w:ascii="仿宋_GB2312" w:hAnsi="仿宋_GB2312" w:eastAsia="仿宋_GB2312" w:cs="仿宋_GB2312"/>
                <w:color w:val="auto"/>
                <w:sz w:val="21"/>
                <w:szCs w:val="21"/>
                <w:lang w:eastAsia="zh-CN"/>
              </w:rPr>
              <w:t>，得分；</w:t>
            </w:r>
          </w:p>
          <w:p>
            <w:pPr>
              <w:jc w:val="both"/>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未按照规定</w:t>
            </w:r>
            <w:r>
              <w:rPr>
                <w:rFonts w:hint="eastAsia" w:ascii="仿宋_GB2312" w:hAnsi="仿宋_GB2312" w:eastAsia="仿宋_GB2312" w:cs="仿宋_GB2312"/>
                <w:color w:val="auto"/>
                <w:sz w:val="21"/>
                <w:szCs w:val="21"/>
                <w:lang w:val="en-US" w:eastAsia="zh-CN"/>
              </w:rPr>
              <w:t>执行的</w:t>
            </w:r>
            <w:r>
              <w:rPr>
                <w:rFonts w:hint="eastAsia" w:ascii="仿宋_GB2312" w:hAnsi="仿宋_GB2312" w:eastAsia="仿宋_GB2312" w:cs="仿宋_GB2312"/>
                <w:color w:val="auto"/>
                <w:sz w:val="21"/>
                <w:szCs w:val="21"/>
                <w:lang w:eastAsia="zh-CN"/>
              </w:rPr>
              <w:t>，不得分。</w:t>
            </w:r>
          </w:p>
        </w:tc>
      </w:tr>
      <w:tr>
        <w:tblPrEx>
          <w:tblCellMar>
            <w:top w:w="0" w:type="dxa"/>
            <w:left w:w="0" w:type="dxa"/>
            <w:bottom w:w="0" w:type="dxa"/>
            <w:right w:w="0" w:type="dxa"/>
          </w:tblCellMar>
        </w:tblPrEx>
        <w:trPr>
          <w:gridAfter w:val="1"/>
          <w:wAfter w:w="7" w:type="pct"/>
          <w:trHeight w:val="1705" w:hRule="atLeast"/>
          <w:jc w:val="center"/>
        </w:trPr>
        <w:tc>
          <w:tcPr>
            <w:tcW w:w="243" w:type="pct"/>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协议管理</w:t>
            </w:r>
          </w:p>
        </w:tc>
        <w:tc>
          <w:tcPr>
            <w:tcW w:w="237"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医疗管理</w:t>
            </w:r>
          </w:p>
        </w:tc>
        <w:tc>
          <w:tcPr>
            <w:tcW w:w="284"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spacing w:line="23" w:lineRule="atLeas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检查</w:t>
            </w:r>
          </w:p>
          <w:p>
            <w:pPr>
              <w:spacing w:line="23" w:lineRule="atLeas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互认</w:t>
            </w:r>
          </w:p>
        </w:tc>
        <w:tc>
          <w:tcPr>
            <w:tcW w:w="287"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center"/>
              <w:textAlignment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10</w:t>
            </w:r>
          </w:p>
        </w:tc>
        <w:tc>
          <w:tcPr>
            <w:tcW w:w="267"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eastAsia="zh-CN"/>
              </w:rPr>
              <w:t>10</w:t>
            </w:r>
            <w:r>
              <w:rPr>
                <w:rFonts w:hint="eastAsia" w:ascii="仿宋_GB2312" w:hAnsi="仿宋_GB2312" w:eastAsia="仿宋_GB2312" w:cs="仿宋_GB2312"/>
                <w:color w:val="auto"/>
                <w:sz w:val="21"/>
                <w:szCs w:val="21"/>
              </w:rPr>
              <w:t>‰</w:t>
            </w:r>
          </w:p>
        </w:tc>
        <w:tc>
          <w:tcPr>
            <w:tcW w:w="1283"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spacing w:line="23" w:lineRule="atLeast"/>
              <w:jc w:val="both"/>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按照国家相关规定，在不影响疾病诊疗的前提下，认可参保人员在其他定点 医疗机构所做的检查化验结果，避免不必要的重复检查。</w:t>
            </w:r>
          </w:p>
        </w:tc>
        <w:tc>
          <w:tcPr>
            <w:tcW w:w="1308"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both"/>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医疗机构检查检验结果互认管理办法。</w:t>
            </w:r>
          </w:p>
        </w:tc>
        <w:tc>
          <w:tcPr>
            <w:tcW w:w="1079"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both"/>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按照规定</w:t>
            </w:r>
            <w:r>
              <w:rPr>
                <w:rFonts w:hint="eastAsia" w:ascii="仿宋_GB2312" w:hAnsi="仿宋_GB2312" w:eastAsia="仿宋_GB2312" w:cs="仿宋_GB2312"/>
                <w:color w:val="auto"/>
                <w:sz w:val="21"/>
                <w:szCs w:val="21"/>
                <w:lang w:val="en-US" w:eastAsia="zh-CN"/>
              </w:rPr>
              <w:t>执行的</w:t>
            </w:r>
            <w:r>
              <w:rPr>
                <w:rFonts w:hint="eastAsia" w:ascii="仿宋_GB2312" w:hAnsi="仿宋_GB2312" w:eastAsia="仿宋_GB2312" w:cs="仿宋_GB2312"/>
                <w:color w:val="auto"/>
                <w:sz w:val="21"/>
                <w:szCs w:val="21"/>
                <w:lang w:eastAsia="zh-CN"/>
              </w:rPr>
              <w:t>，得分；</w:t>
            </w:r>
          </w:p>
          <w:p>
            <w:pPr>
              <w:jc w:val="both"/>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未按照规定</w:t>
            </w:r>
            <w:r>
              <w:rPr>
                <w:rFonts w:hint="eastAsia" w:ascii="仿宋_GB2312" w:hAnsi="仿宋_GB2312" w:eastAsia="仿宋_GB2312" w:cs="仿宋_GB2312"/>
                <w:color w:val="auto"/>
                <w:sz w:val="21"/>
                <w:szCs w:val="21"/>
                <w:lang w:val="en-US" w:eastAsia="zh-CN"/>
              </w:rPr>
              <w:t>执行的</w:t>
            </w:r>
            <w:r>
              <w:rPr>
                <w:rFonts w:hint="eastAsia" w:ascii="仿宋_GB2312" w:hAnsi="仿宋_GB2312" w:eastAsia="仿宋_GB2312" w:cs="仿宋_GB2312"/>
                <w:color w:val="auto"/>
                <w:sz w:val="21"/>
                <w:szCs w:val="21"/>
                <w:lang w:eastAsia="zh-CN"/>
              </w:rPr>
              <w:t>，不得分。</w:t>
            </w:r>
          </w:p>
        </w:tc>
      </w:tr>
      <w:tr>
        <w:tblPrEx>
          <w:tblCellMar>
            <w:top w:w="0" w:type="dxa"/>
            <w:left w:w="0" w:type="dxa"/>
            <w:bottom w:w="0" w:type="dxa"/>
            <w:right w:w="0" w:type="dxa"/>
          </w:tblCellMar>
        </w:tblPrEx>
        <w:trPr>
          <w:gridAfter w:val="1"/>
          <w:wAfter w:w="7" w:type="pct"/>
          <w:trHeight w:val="2032" w:hRule="atLeast"/>
          <w:jc w:val="center"/>
        </w:trPr>
        <w:tc>
          <w:tcPr>
            <w:tcW w:w="243" w:type="pct"/>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协议管理</w:t>
            </w:r>
          </w:p>
        </w:tc>
        <w:tc>
          <w:tcPr>
            <w:tcW w:w="237"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医疗管理</w:t>
            </w:r>
          </w:p>
        </w:tc>
        <w:tc>
          <w:tcPr>
            <w:tcW w:w="284"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spacing w:line="23" w:lineRule="atLeas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门特</w:t>
            </w:r>
          </w:p>
          <w:p>
            <w:pPr>
              <w:spacing w:line="23" w:lineRule="atLeas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服务</w:t>
            </w:r>
          </w:p>
        </w:tc>
        <w:tc>
          <w:tcPr>
            <w:tcW w:w="287"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center"/>
              <w:textAlignment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10</w:t>
            </w:r>
          </w:p>
        </w:tc>
        <w:tc>
          <w:tcPr>
            <w:tcW w:w="267"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eastAsia="zh-CN"/>
              </w:rPr>
              <w:t>10</w:t>
            </w:r>
            <w:r>
              <w:rPr>
                <w:rFonts w:hint="eastAsia" w:ascii="仿宋_GB2312" w:hAnsi="仿宋_GB2312" w:eastAsia="仿宋_GB2312" w:cs="仿宋_GB2312"/>
                <w:color w:val="auto"/>
                <w:sz w:val="21"/>
                <w:szCs w:val="21"/>
              </w:rPr>
              <w:t>‰</w:t>
            </w:r>
          </w:p>
        </w:tc>
        <w:tc>
          <w:tcPr>
            <w:tcW w:w="1283"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spacing w:line="23" w:lineRule="atLeast"/>
              <w:jc w:val="both"/>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制定门诊特殊病种临床指南，确定相应的科室及医生为参保人员提供门诊特殊病种（或治疗）医疗服务。</w:t>
            </w:r>
          </w:p>
        </w:tc>
        <w:tc>
          <w:tcPr>
            <w:tcW w:w="1308"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both"/>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《青海省医疗保障定点医疗机构服务协议（2019版）》。</w:t>
            </w:r>
          </w:p>
        </w:tc>
        <w:tc>
          <w:tcPr>
            <w:tcW w:w="1079"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both"/>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按照规定</w:t>
            </w:r>
            <w:r>
              <w:rPr>
                <w:rFonts w:hint="eastAsia" w:ascii="仿宋_GB2312" w:hAnsi="仿宋_GB2312" w:eastAsia="仿宋_GB2312" w:cs="仿宋_GB2312"/>
                <w:color w:val="auto"/>
                <w:sz w:val="21"/>
                <w:szCs w:val="21"/>
                <w:lang w:val="en-US" w:eastAsia="zh-CN"/>
              </w:rPr>
              <w:t>执行的</w:t>
            </w:r>
            <w:r>
              <w:rPr>
                <w:rFonts w:hint="eastAsia" w:ascii="仿宋_GB2312" w:hAnsi="仿宋_GB2312" w:eastAsia="仿宋_GB2312" w:cs="仿宋_GB2312"/>
                <w:color w:val="auto"/>
                <w:sz w:val="21"/>
                <w:szCs w:val="21"/>
                <w:lang w:eastAsia="zh-CN"/>
              </w:rPr>
              <w:t>，得分；</w:t>
            </w:r>
          </w:p>
          <w:p>
            <w:pPr>
              <w:jc w:val="both"/>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未按照规定</w:t>
            </w:r>
            <w:r>
              <w:rPr>
                <w:rFonts w:hint="eastAsia" w:ascii="仿宋_GB2312" w:hAnsi="仿宋_GB2312" w:eastAsia="仿宋_GB2312" w:cs="仿宋_GB2312"/>
                <w:color w:val="auto"/>
                <w:sz w:val="21"/>
                <w:szCs w:val="21"/>
                <w:lang w:val="en-US" w:eastAsia="zh-CN"/>
              </w:rPr>
              <w:t>执行的</w:t>
            </w:r>
            <w:r>
              <w:rPr>
                <w:rFonts w:hint="eastAsia" w:ascii="仿宋_GB2312" w:hAnsi="仿宋_GB2312" w:eastAsia="仿宋_GB2312" w:cs="仿宋_GB2312"/>
                <w:color w:val="auto"/>
                <w:sz w:val="21"/>
                <w:szCs w:val="21"/>
                <w:lang w:eastAsia="zh-CN"/>
              </w:rPr>
              <w:t>，不得分。</w:t>
            </w:r>
          </w:p>
        </w:tc>
      </w:tr>
      <w:tr>
        <w:tblPrEx>
          <w:tblCellMar>
            <w:top w:w="0" w:type="dxa"/>
            <w:left w:w="0" w:type="dxa"/>
            <w:bottom w:w="0" w:type="dxa"/>
            <w:right w:w="0" w:type="dxa"/>
          </w:tblCellMar>
        </w:tblPrEx>
        <w:trPr>
          <w:gridAfter w:val="1"/>
          <w:wAfter w:w="7" w:type="pct"/>
          <w:trHeight w:val="1273" w:hRule="atLeast"/>
          <w:jc w:val="center"/>
        </w:trPr>
        <w:tc>
          <w:tcPr>
            <w:tcW w:w="243" w:type="pct"/>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协议管理</w:t>
            </w:r>
          </w:p>
        </w:tc>
        <w:tc>
          <w:tcPr>
            <w:tcW w:w="237"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医疗管理</w:t>
            </w:r>
          </w:p>
        </w:tc>
        <w:tc>
          <w:tcPr>
            <w:tcW w:w="284"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spacing w:line="23" w:lineRule="atLeas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处方</w:t>
            </w:r>
          </w:p>
          <w:p>
            <w:pPr>
              <w:spacing w:line="23" w:lineRule="atLeas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管理</w:t>
            </w:r>
          </w:p>
        </w:tc>
        <w:tc>
          <w:tcPr>
            <w:tcW w:w="287"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center"/>
              <w:textAlignment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10</w:t>
            </w:r>
          </w:p>
        </w:tc>
        <w:tc>
          <w:tcPr>
            <w:tcW w:w="267"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eastAsia="zh-CN"/>
              </w:rPr>
              <w:t>10</w:t>
            </w:r>
            <w:r>
              <w:rPr>
                <w:rFonts w:hint="eastAsia" w:ascii="仿宋_GB2312" w:hAnsi="仿宋_GB2312" w:eastAsia="仿宋_GB2312" w:cs="仿宋_GB2312"/>
                <w:color w:val="auto"/>
                <w:sz w:val="21"/>
                <w:szCs w:val="21"/>
              </w:rPr>
              <w:t>‰</w:t>
            </w:r>
          </w:p>
        </w:tc>
        <w:tc>
          <w:tcPr>
            <w:tcW w:w="1283"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spacing w:line="23" w:lineRule="atLeast"/>
              <w:jc w:val="both"/>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处方书写规范、清晰、完整，并与</w:t>
            </w:r>
            <w:r>
              <w:rPr>
                <w:rFonts w:hint="eastAsia" w:ascii="仿宋_GB2312" w:hAnsi="仿宋_GB2312" w:eastAsia="仿宋_GB2312" w:cs="仿宋_GB2312"/>
                <w:color w:val="auto"/>
                <w:sz w:val="21"/>
                <w:szCs w:val="21"/>
                <w:lang w:eastAsia="zh-CN"/>
              </w:rPr>
              <w:t>病历</w:t>
            </w:r>
            <w:r>
              <w:rPr>
                <w:rFonts w:hint="eastAsia" w:ascii="仿宋_GB2312" w:hAnsi="仿宋_GB2312" w:eastAsia="仿宋_GB2312" w:cs="仿宋_GB2312"/>
                <w:color w:val="auto"/>
                <w:sz w:val="21"/>
                <w:szCs w:val="21"/>
              </w:rPr>
              <w:t>记载相一致。执行处方管理的药品种类及药量，按照药品说明书的使用要求和药品目录限定范围使用药品。</w:t>
            </w:r>
          </w:p>
        </w:tc>
        <w:tc>
          <w:tcPr>
            <w:tcW w:w="1308"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both"/>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处方管理办法。</w:t>
            </w:r>
          </w:p>
        </w:tc>
        <w:tc>
          <w:tcPr>
            <w:tcW w:w="1079"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both"/>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按照规定</w:t>
            </w:r>
            <w:r>
              <w:rPr>
                <w:rFonts w:hint="eastAsia" w:ascii="仿宋_GB2312" w:hAnsi="仿宋_GB2312" w:eastAsia="仿宋_GB2312" w:cs="仿宋_GB2312"/>
                <w:color w:val="auto"/>
                <w:sz w:val="21"/>
                <w:szCs w:val="21"/>
                <w:lang w:val="en-US" w:eastAsia="zh-CN"/>
              </w:rPr>
              <w:t>执行的</w:t>
            </w:r>
            <w:r>
              <w:rPr>
                <w:rFonts w:hint="eastAsia" w:ascii="仿宋_GB2312" w:hAnsi="仿宋_GB2312" w:eastAsia="仿宋_GB2312" w:cs="仿宋_GB2312"/>
                <w:color w:val="auto"/>
                <w:sz w:val="21"/>
                <w:szCs w:val="21"/>
                <w:lang w:eastAsia="zh-CN"/>
              </w:rPr>
              <w:t>，得分；</w:t>
            </w:r>
          </w:p>
          <w:p>
            <w:pPr>
              <w:jc w:val="both"/>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未按照规定</w:t>
            </w:r>
            <w:r>
              <w:rPr>
                <w:rFonts w:hint="eastAsia" w:ascii="仿宋_GB2312" w:hAnsi="仿宋_GB2312" w:eastAsia="仿宋_GB2312" w:cs="仿宋_GB2312"/>
                <w:color w:val="auto"/>
                <w:sz w:val="21"/>
                <w:szCs w:val="21"/>
                <w:lang w:val="en-US" w:eastAsia="zh-CN"/>
              </w:rPr>
              <w:t>执行的</w:t>
            </w:r>
            <w:r>
              <w:rPr>
                <w:rFonts w:hint="eastAsia" w:ascii="仿宋_GB2312" w:hAnsi="仿宋_GB2312" w:eastAsia="仿宋_GB2312" w:cs="仿宋_GB2312"/>
                <w:color w:val="auto"/>
                <w:sz w:val="21"/>
                <w:szCs w:val="21"/>
                <w:lang w:eastAsia="zh-CN"/>
              </w:rPr>
              <w:t>，不得分。</w:t>
            </w:r>
          </w:p>
        </w:tc>
      </w:tr>
      <w:tr>
        <w:tblPrEx>
          <w:tblCellMar>
            <w:top w:w="0" w:type="dxa"/>
            <w:left w:w="0" w:type="dxa"/>
            <w:bottom w:w="0" w:type="dxa"/>
            <w:right w:w="0" w:type="dxa"/>
          </w:tblCellMar>
        </w:tblPrEx>
        <w:trPr>
          <w:gridAfter w:val="1"/>
          <w:wAfter w:w="7" w:type="pct"/>
          <w:trHeight w:val="1790" w:hRule="atLeast"/>
          <w:jc w:val="center"/>
        </w:trPr>
        <w:tc>
          <w:tcPr>
            <w:tcW w:w="243" w:type="pct"/>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line="23" w:lineRule="atLeas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协议管理</w:t>
            </w:r>
          </w:p>
        </w:tc>
        <w:tc>
          <w:tcPr>
            <w:tcW w:w="237"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spacing w:line="23" w:lineRule="atLeas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医疗管理</w:t>
            </w:r>
          </w:p>
        </w:tc>
        <w:tc>
          <w:tcPr>
            <w:tcW w:w="284"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spacing w:line="23" w:lineRule="atLeas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处方</w:t>
            </w:r>
          </w:p>
          <w:p>
            <w:pPr>
              <w:spacing w:line="23" w:lineRule="atLeas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流转</w:t>
            </w:r>
          </w:p>
        </w:tc>
        <w:tc>
          <w:tcPr>
            <w:tcW w:w="287"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center"/>
              <w:textAlignment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10</w:t>
            </w:r>
          </w:p>
        </w:tc>
        <w:tc>
          <w:tcPr>
            <w:tcW w:w="267"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eastAsia="zh-CN"/>
              </w:rPr>
              <w:t>10</w:t>
            </w:r>
            <w:r>
              <w:rPr>
                <w:rFonts w:hint="eastAsia" w:ascii="仿宋_GB2312" w:hAnsi="仿宋_GB2312" w:eastAsia="仿宋_GB2312" w:cs="仿宋_GB2312"/>
                <w:color w:val="auto"/>
                <w:sz w:val="21"/>
                <w:szCs w:val="21"/>
              </w:rPr>
              <w:t>‰</w:t>
            </w:r>
          </w:p>
        </w:tc>
        <w:tc>
          <w:tcPr>
            <w:tcW w:w="1283"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both"/>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 xml:space="preserve">执行门诊处方外配制度，便利参保人员到定点零售药店购药。 </w:t>
            </w:r>
          </w:p>
          <w:p>
            <w:pPr>
              <w:spacing w:line="23" w:lineRule="atLeast"/>
              <w:jc w:val="both"/>
              <w:textAlignment w:val="center"/>
              <w:rPr>
                <w:rFonts w:hint="eastAsia" w:ascii="仿宋_GB2312" w:hAnsi="仿宋_GB2312" w:eastAsia="仿宋_GB2312" w:cs="仿宋_GB2312"/>
                <w:color w:val="auto"/>
                <w:sz w:val="21"/>
                <w:szCs w:val="21"/>
              </w:rPr>
            </w:pPr>
          </w:p>
        </w:tc>
        <w:tc>
          <w:tcPr>
            <w:tcW w:w="1308"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both"/>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《医疗机构医疗保障定点管理暂行办法》。</w:t>
            </w:r>
          </w:p>
          <w:p>
            <w:pPr>
              <w:jc w:val="both"/>
              <w:rPr>
                <w:rFonts w:hint="eastAsia" w:ascii="仿宋_GB2312" w:hAnsi="仿宋_GB2312" w:eastAsia="仿宋_GB2312" w:cs="仿宋_GB2312"/>
                <w:color w:val="auto"/>
                <w:sz w:val="21"/>
                <w:szCs w:val="21"/>
                <w:lang w:eastAsia="zh-CN"/>
              </w:rPr>
            </w:pPr>
          </w:p>
        </w:tc>
        <w:tc>
          <w:tcPr>
            <w:tcW w:w="1079"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both"/>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按照规定</w:t>
            </w:r>
            <w:r>
              <w:rPr>
                <w:rFonts w:hint="eastAsia" w:ascii="仿宋_GB2312" w:hAnsi="仿宋_GB2312" w:eastAsia="仿宋_GB2312" w:cs="仿宋_GB2312"/>
                <w:color w:val="auto"/>
                <w:sz w:val="21"/>
                <w:szCs w:val="21"/>
                <w:lang w:val="en-US" w:eastAsia="zh-CN"/>
              </w:rPr>
              <w:t>执行的</w:t>
            </w:r>
            <w:r>
              <w:rPr>
                <w:rFonts w:hint="eastAsia" w:ascii="仿宋_GB2312" w:hAnsi="仿宋_GB2312" w:eastAsia="仿宋_GB2312" w:cs="仿宋_GB2312"/>
                <w:color w:val="auto"/>
                <w:sz w:val="21"/>
                <w:szCs w:val="21"/>
                <w:lang w:eastAsia="zh-CN"/>
              </w:rPr>
              <w:t>，得分；</w:t>
            </w:r>
          </w:p>
          <w:p>
            <w:pPr>
              <w:jc w:val="both"/>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未按照规定</w:t>
            </w:r>
            <w:r>
              <w:rPr>
                <w:rFonts w:hint="eastAsia" w:ascii="仿宋_GB2312" w:hAnsi="仿宋_GB2312" w:eastAsia="仿宋_GB2312" w:cs="仿宋_GB2312"/>
                <w:color w:val="auto"/>
                <w:sz w:val="21"/>
                <w:szCs w:val="21"/>
                <w:lang w:val="en-US" w:eastAsia="zh-CN"/>
              </w:rPr>
              <w:t>执行的</w:t>
            </w:r>
            <w:r>
              <w:rPr>
                <w:rFonts w:hint="eastAsia" w:ascii="仿宋_GB2312" w:hAnsi="仿宋_GB2312" w:eastAsia="仿宋_GB2312" w:cs="仿宋_GB2312"/>
                <w:color w:val="auto"/>
                <w:sz w:val="21"/>
                <w:szCs w:val="21"/>
                <w:lang w:eastAsia="zh-CN"/>
              </w:rPr>
              <w:t>，不得分。</w:t>
            </w:r>
          </w:p>
        </w:tc>
      </w:tr>
      <w:tr>
        <w:tblPrEx>
          <w:tblCellMar>
            <w:top w:w="0" w:type="dxa"/>
            <w:left w:w="0" w:type="dxa"/>
            <w:bottom w:w="0" w:type="dxa"/>
            <w:right w:w="0" w:type="dxa"/>
          </w:tblCellMar>
        </w:tblPrEx>
        <w:trPr>
          <w:gridAfter w:val="1"/>
          <w:wAfter w:w="7" w:type="pct"/>
          <w:trHeight w:val="1226" w:hRule="atLeast"/>
          <w:jc w:val="center"/>
        </w:trPr>
        <w:tc>
          <w:tcPr>
            <w:tcW w:w="243" w:type="pct"/>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line="23" w:lineRule="atLeas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协议管理</w:t>
            </w:r>
          </w:p>
        </w:tc>
        <w:tc>
          <w:tcPr>
            <w:tcW w:w="237"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spacing w:line="23" w:lineRule="atLeas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医疗管理</w:t>
            </w:r>
          </w:p>
        </w:tc>
        <w:tc>
          <w:tcPr>
            <w:tcW w:w="284"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spacing w:line="23" w:lineRule="atLeas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转诊</w:t>
            </w:r>
          </w:p>
          <w:p>
            <w:pPr>
              <w:spacing w:line="23" w:lineRule="atLeas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转院</w:t>
            </w:r>
          </w:p>
        </w:tc>
        <w:tc>
          <w:tcPr>
            <w:tcW w:w="287"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center"/>
              <w:textAlignment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10</w:t>
            </w:r>
          </w:p>
        </w:tc>
        <w:tc>
          <w:tcPr>
            <w:tcW w:w="267"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eastAsia="zh-CN"/>
              </w:rPr>
              <w:t>10</w:t>
            </w:r>
            <w:r>
              <w:rPr>
                <w:rFonts w:hint="eastAsia" w:ascii="仿宋_GB2312" w:hAnsi="仿宋_GB2312" w:eastAsia="仿宋_GB2312" w:cs="仿宋_GB2312"/>
                <w:color w:val="auto"/>
                <w:sz w:val="21"/>
                <w:szCs w:val="21"/>
              </w:rPr>
              <w:t>‰</w:t>
            </w:r>
          </w:p>
        </w:tc>
        <w:tc>
          <w:tcPr>
            <w:tcW w:w="1283"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spacing w:line="23" w:lineRule="atLeast"/>
              <w:jc w:val="both"/>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建立健全转诊转院制度，及时为符合条件的参保人员办理转诊转院手续。</w:t>
            </w:r>
          </w:p>
        </w:tc>
        <w:tc>
          <w:tcPr>
            <w:tcW w:w="1308"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both"/>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《医疗机构医疗保障定点管理暂行办法》。</w:t>
            </w:r>
          </w:p>
        </w:tc>
        <w:tc>
          <w:tcPr>
            <w:tcW w:w="1079"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both"/>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按照规定</w:t>
            </w:r>
            <w:r>
              <w:rPr>
                <w:rFonts w:hint="eastAsia" w:ascii="仿宋_GB2312" w:hAnsi="仿宋_GB2312" w:eastAsia="仿宋_GB2312" w:cs="仿宋_GB2312"/>
                <w:color w:val="auto"/>
                <w:sz w:val="21"/>
                <w:szCs w:val="21"/>
                <w:lang w:val="en-US" w:eastAsia="zh-CN"/>
              </w:rPr>
              <w:t>执行的</w:t>
            </w:r>
            <w:r>
              <w:rPr>
                <w:rFonts w:hint="eastAsia" w:ascii="仿宋_GB2312" w:hAnsi="仿宋_GB2312" w:eastAsia="仿宋_GB2312" w:cs="仿宋_GB2312"/>
                <w:color w:val="auto"/>
                <w:sz w:val="21"/>
                <w:szCs w:val="21"/>
                <w:lang w:eastAsia="zh-CN"/>
              </w:rPr>
              <w:t>，得分；</w:t>
            </w:r>
          </w:p>
          <w:p>
            <w:pPr>
              <w:jc w:val="both"/>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未按照规定</w:t>
            </w:r>
            <w:r>
              <w:rPr>
                <w:rFonts w:hint="eastAsia" w:ascii="仿宋_GB2312" w:hAnsi="仿宋_GB2312" w:eastAsia="仿宋_GB2312" w:cs="仿宋_GB2312"/>
                <w:color w:val="auto"/>
                <w:sz w:val="21"/>
                <w:szCs w:val="21"/>
                <w:lang w:val="en-US" w:eastAsia="zh-CN"/>
              </w:rPr>
              <w:t>执行的</w:t>
            </w:r>
            <w:r>
              <w:rPr>
                <w:rFonts w:hint="eastAsia" w:ascii="仿宋_GB2312" w:hAnsi="仿宋_GB2312" w:eastAsia="仿宋_GB2312" w:cs="仿宋_GB2312"/>
                <w:color w:val="auto"/>
                <w:sz w:val="21"/>
                <w:szCs w:val="21"/>
                <w:lang w:eastAsia="zh-CN"/>
              </w:rPr>
              <w:t>，不得分。</w:t>
            </w:r>
          </w:p>
        </w:tc>
      </w:tr>
      <w:tr>
        <w:tblPrEx>
          <w:tblCellMar>
            <w:top w:w="0" w:type="dxa"/>
            <w:left w:w="0" w:type="dxa"/>
            <w:bottom w:w="0" w:type="dxa"/>
            <w:right w:w="0" w:type="dxa"/>
          </w:tblCellMar>
        </w:tblPrEx>
        <w:trPr>
          <w:gridAfter w:val="1"/>
          <w:wAfter w:w="7" w:type="pct"/>
          <w:trHeight w:val="23" w:hRule="atLeast"/>
          <w:jc w:val="center"/>
        </w:trPr>
        <w:tc>
          <w:tcPr>
            <w:tcW w:w="243" w:type="pct"/>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line="23" w:lineRule="atLeas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协议管理</w:t>
            </w:r>
          </w:p>
        </w:tc>
        <w:tc>
          <w:tcPr>
            <w:tcW w:w="237"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spacing w:line="23" w:lineRule="atLeas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医疗管理</w:t>
            </w:r>
          </w:p>
        </w:tc>
        <w:tc>
          <w:tcPr>
            <w:tcW w:w="284"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spacing w:line="23" w:lineRule="atLeas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出入</w:t>
            </w:r>
          </w:p>
          <w:p>
            <w:pPr>
              <w:spacing w:line="23" w:lineRule="atLeas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院管理</w:t>
            </w:r>
          </w:p>
        </w:tc>
        <w:tc>
          <w:tcPr>
            <w:tcW w:w="287"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center"/>
              <w:textAlignment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10</w:t>
            </w:r>
          </w:p>
        </w:tc>
        <w:tc>
          <w:tcPr>
            <w:tcW w:w="267"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eastAsia="zh-CN"/>
              </w:rPr>
              <w:t>10</w:t>
            </w:r>
            <w:r>
              <w:rPr>
                <w:rFonts w:hint="eastAsia" w:ascii="仿宋_GB2312" w:hAnsi="仿宋_GB2312" w:eastAsia="仿宋_GB2312" w:cs="仿宋_GB2312"/>
                <w:color w:val="auto"/>
                <w:sz w:val="21"/>
                <w:szCs w:val="21"/>
              </w:rPr>
              <w:t>‰</w:t>
            </w:r>
          </w:p>
        </w:tc>
        <w:tc>
          <w:tcPr>
            <w:tcW w:w="1283"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spacing w:line="23" w:lineRule="atLeast"/>
              <w:jc w:val="both"/>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严格执行出、入院和重症监护病房收治标准，不得推诿、拒收符合住院条件 的参保人员住院治疗；不得将不符合入院标准的参保人员住院治疗；不得要 求未达到出院标准的参保人员提前出院或自费住院。</w:t>
            </w:r>
          </w:p>
        </w:tc>
        <w:tc>
          <w:tcPr>
            <w:tcW w:w="1308"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both"/>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val="en-US" w:eastAsia="zh-CN"/>
              </w:rPr>
              <w:t>1.</w:t>
            </w:r>
            <w:r>
              <w:rPr>
                <w:rFonts w:hint="eastAsia" w:ascii="仿宋_GB2312" w:hAnsi="仿宋_GB2312" w:eastAsia="仿宋_GB2312" w:cs="仿宋_GB2312"/>
                <w:color w:val="auto"/>
                <w:sz w:val="21"/>
                <w:szCs w:val="21"/>
                <w:lang w:eastAsia="zh-CN"/>
              </w:rPr>
              <w:t>《医疗机构医疗保障定点管理暂行办法》；</w:t>
            </w:r>
          </w:p>
          <w:p>
            <w:pPr>
              <w:jc w:val="both"/>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val="en-US" w:eastAsia="zh-CN"/>
              </w:rPr>
              <w:t>2.</w:t>
            </w:r>
            <w:r>
              <w:rPr>
                <w:rFonts w:hint="eastAsia" w:ascii="仿宋_GB2312" w:hAnsi="仿宋_GB2312" w:eastAsia="仿宋_GB2312" w:cs="仿宋_GB2312"/>
                <w:color w:val="auto"/>
                <w:sz w:val="21"/>
                <w:szCs w:val="21"/>
                <w:lang w:eastAsia="zh-CN"/>
              </w:rPr>
              <w:t>《青海省医疗保障定点医疗机构服务协议（2019版）》。</w:t>
            </w:r>
          </w:p>
          <w:p>
            <w:pPr>
              <w:jc w:val="both"/>
              <w:rPr>
                <w:rFonts w:hint="eastAsia" w:ascii="仿宋_GB2312" w:hAnsi="仿宋_GB2312" w:eastAsia="仿宋_GB2312" w:cs="仿宋_GB2312"/>
                <w:color w:val="auto"/>
                <w:sz w:val="21"/>
                <w:szCs w:val="21"/>
                <w:lang w:eastAsia="zh-CN"/>
              </w:rPr>
            </w:pPr>
          </w:p>
        </w:tc>
        <w:tc>
          <w:tcPr>
            <w:tcW w:w="1079"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both"/>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按照规定</w:t>
            </w:r>
            <w:r>
              <w:rPr>
                <w:rFonts w:hint="eastAsia" w:ascii="仿宋_GB2312" w:hAnsi="仿宋_GB2312" w:eastAsia="仿宋_GB2312" w:cs="仿宋_GB2312"/>
                <w:color w:val="auto"/>
                <w:sz w:val="21"/>
                <w:szCs w:val="21"/>
                <w:lang w:val="en-US" w:eastAsia="zh-CN"/>
              </w:rPr>
              <w:t>执行的</w:t>
            </w:r>
            <w:r>
              <w:rPr>
                <w:rFonts w:hint="eastAsia" w:ascii="仿宋_GB2312" w:hAnsi="仿宋_GB2312" w:eastAsia="仿宋_GB2312" w:cs="仿宋_GB2312"/>
                <w:color w:val="auto"/>
                <w:sz w:val="21"/>
                <w:szCs w:val="21"/>
                <w:lang w:eastAsia="zh-CN"/>
              </w:rPr>
              <w:t>，得分；</w:t>
            </w:r>
          </w:p>
          <w:p>
            <w:pPr>
              <w:jc w:val="both"/>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未按照规定</w:t>
            </w:r>
            <w:r>
              <w:rPr>
                <w:rFonts w:hint="eastAsia" w:ascii="仿宋_GB2312" w:hAnsi="仿宋_GB2312" w:eastAsia="仿宋_GB2312" w:cs="仿宋_GB2312"/>
                <w:color w:val="auto"/>
                <w:sz w:val="21"/>
                <w:szCs w:val="21"/>
                <w:lang w:val="en-US" w:eastAsia="zh-CN"/>
              </w:rPr>
              <w:t>执行的</w:t>
            </w:r>
            <w:r>
              <w:rPr>
                <w:rFonts w:hint="eastAsia" w:ascii="仿宋_GB2312" w:hAnsi="仿宋_GB2312" w:eastAsia="仿宋_GB2312" w:cs="仿宋_GB2312"/>
                <w:color w:val="auto"/>
                <w:sz w:val="21"/>
                <w:szCs w:val="21"/>
                <w:lang w:eastAsia="zh-CN"/>
              </w:rPr>
              <w:t>，不得分。</w:t>
            </w:r>
          </w:p>
        </w:tc>
      </w:tr>
      <w:tr>
        <w:tblPrEx>
          <w:tblCellMar>
            <w:top w:w="0" w:type="dxa"/>
            <w:left w:w="0" w:type="dxa"/>
            <w:bottom w:w="0" w:type="dxa"/>
            <w:right w:w="0" w:type="dxa"/>
          </w:tblCellMar>
        </w:tblPrEx>
        <w:trPr>
          <w:gridAfter w:val="1"/>
          <w:wAfter w:w="7" w:type="pct"/>
          <w:trHeight w:val="1446" w:hRule="atLeast"/>
          <w:jc w:val="center"/>
        </w:trPr>
        <w:tc>
          <w:tcPr>
            <w:tcW w:w="243" w:type="pct"/>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line="23" w:lineRule="atLeas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协议管理</w:t>
            </w:r>
          </w:p>
        </w:tc>
        <w:tc>
          <w:tcPr>
            <w:tcW w:w="237"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spacing w:line="23" w:lineRule="atLeas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医疗管理</w:t>
            </w:r>
          </w:p>
        </w:tc>
        <w:tc>
          <w:tcPr>
            <w:tcW w:w="284"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spacing w:line="23" w:lineRule="atLeas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出院</w:t>
            </w:r>
          </w:p>
          <w:p>
            <w:pPr>
              <w:spacing w:line="23" w:lineRule="atLeas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带药</w:t>
            </w:r>
          </w:p>
        </w:tc>
        <w:tc>
          <w:tcPr>
            <w:tcW w:w="287"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center"/>
              <w:textAlignment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10</w:t>
            </w:r>
          </w:p>
        </w:tc>
        <w:tc>
          <w:tcPr>
            <w:tcW w:w="267"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eastAsia="zh-CN"/>
              </w:rPr>
              <w:t>10</w:t>
            </w:r>
            <w:r>
              <w:rPr>
                <w:rFonts w:hint="eastAsia" w:ascii="仿宋_GB2312" w:hAnsi="仿宋_GB2312" w:eastAsia="仿宋_GB2312" w:cs="仿宋_GB2312"/>
                <w:color w:val="auto"/>
                <w:sz w:val="21"/>
                <w:szCs w:val="21"/>
              </w:rPr>
              <w:t>‰</w:t>
            </w:r>
          </w:p>
        </w:tc>
        <w:tc>
          <w:tcPr>
            <w:tcW w:w="1283"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spacing w:line="23" w:lineRule="atLeast"/>
              <w:jc w:val="both"/>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参保人员出院带药，其药品品种和数量符合医保等部门相关规定。</w:t>
            </w:r>
          </w:p>
        </w:tc>
        <w:tc>
          <w:tcPr>
            <w:tcW w:w="1308"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both"/>
              <w:rPr>
                <w:rFonts w:hint="default"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《青海省医疗保障定点医疗机构服务协议（2019版）》。</w:t>
            </w:r>
          </w:p>
        </w:tc>
        <w:tc>
          <w:tcPr>
            <w:tcW w:w="1079"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both"/>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按照规定</w:t>
            </w:r>
            <w:r>
              <w:rPr>
                <w:rFonts w:hint="eastAsia" w:ascii="仿宋_GB2312" w:hAnsi="仿宋_GB2312" w:eastAsia="仿宋_GB2312" w:cs="仿宋_GB2312"/>
                <w:color w:val="auto"/>
                <w:sz w:val="21"/>
                <w:szCs w:val="21"/>
                <w:lang w:val="en-US" w:eastAsia="zh-CN"/>
              </w:rPr>
              <w:t>执行的</w:t>
            </w:r>
            <w:r>
              <w:rPr>
                <w:rFonts w:hint="eastAsia" w:ascii="仿宋_GB2312" w:hAnsi="仿宋_GB2312" w:eastAsia="仿宋_GB2312" w:cs="仿宋_GB2312"/>
                <w:color w:val="auto"/>
                <w:sz w:val="21"/>
                <w:szCs w:val="21"/>
                <w:lang w:eastAsia="zh-CN"/>
              </w:rPr>
              <w:t>，得分；</w:t>
            </w:r>
          </w:p>
          <w:p>
            <w:pPr>
              <w:jc w:val="both"/>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未按照规定</w:t>
            </w:r>
            <w:r>
              <w:rPr>
                <w:rFonts w:hint="eastAsia" w:ascii="仿宋_GB2312" w:hAnsi="仿宋_GB2312" w:eastAsia="仿宋_GB2312" w:cs="仿宋_GB2312"/>
                <w:color w:val="auto"/>
                <w:sz w:val="21"/>
                <w:szCs w:val="21"/>
                <w:lang w:val="en-US" w:eastAsia="zh-CN"/>
              </w:rPr>
              <w:t>执行的</w:t>
            </w:r>
            <w:r>
              <w:rPr>
                <w:rFonts w:hint="eastAsia" w:ascii="仿宋_GB2312" w:hAnsi="仿宋_GB2312" w:eastAsia="仿宋_GB2312" w:cs="仿宋_GB2312"/>
                <w:color w:val="auto"/>
                <w:sz w:val="21"/>
                <w:szCs w:val="21"/>
                <w:lang w:eastAsia="zh-CN"/>
              </w:rPr>
              <w:t>，不得分。</w:t>
            </w:r>
          </w:p>
        </w:tc>
      </w:tr>
      <w:tr>
        <w:tblPrEx>
          <w:tblCellMar>
            <w:top w:w="0" w:type="dxa"/>
            <w:left w:w="0" w:type="dxa"/>
            <w:bottom w:w="0" w:type="dxa"/>
            <w:right w:w="0" w:type="dxa"/>
          </w:tblCellMar>
        </w:tblPrEx>
        <w:trPr>
          <w:gridAfter w:val="1"/>
          <w:wAfter w:w="7" w:type="pct"/>
          <w:trHeight w:val="1371" w:hRule="atLeast"/>
          <w:jc w:val="center"/>
        </w:trPr>
        <w:tc>
          <w:tcPr>
            <w:tcW w:w="243" w:type="pct"/>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line="23" w:lineRule="atLeas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协议管理</w:t>
            </w:r>
          </w:p>
        </w:tc>
        <w:tc>
          <w:tcPr>
            <w:tcW w:w="237"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spacing w:line="23" w:lineRule="atLeas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医疗管理</w:t>
            </w:r>
          </w:p>
        </w:tc>
        <w:tc>
          <w:tcPr>
            <w:tcW w:w="284"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spacing w:line="23" w:lineRule="atLeas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异地</w:t>
            </w:r>
          </w:p>
          <w:p>
            <w:pPr>
              <w:spacing w:line="23" w:lineRule="atLeas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就医</w:t>
            </w:r>
          </w:p>
        </w:tc>
        <w:tc>
          <w:tcPr>
            <w:tcW w:w="287"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center"/>
              <w:textAlignment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10</w:t>
            </w:r>
          </w:p>
        </w:tc>
        <w:tc>
          <w:tcPr>
            <w:tcW w:w="267"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eastAsia="zh-CN"/>
              </w:rPr>
              <w:t>10</w:t>
            </w:r>
            <w:r>
              <w:rPr>
                <w:rFonts w:hint="eastAsia" w:ascii="仿宋_GB2312" w:hAnsi="仿宋_GB2312" w:eastAsia="仿宋_GB2312" w:cs="仿宋_GB2312"/>
                <w:color w:val="auto"/>
                <w:sz w:val="21"/>
                <w:szCs w:val="21"/>
              </w:rPr>
              <w:t>‰</w:t>
            </w:r>
          </w:p>
        </w:tc>
        <w:tc>
          <w:tcPr>
            <w:tcW w:w="1283"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spacing w:line="23" w:lineRule="atLeast"/>
              <w:jc w:val="both"/>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医疗机构应按照相关医保政策，为异地就医参保人员提供合理的医疗服务和 费用结算。</w:t>
            </w:r>
          </w:p>
        </w:tc>
        <w:tc>
          <w:tcPr>
            <w:tcW w:w="1308"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both"/>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《青海省医疗保障定点医疗机构服务协议（2019版）》。</w:t>
            </w:r>
          </w:p>
        </w:tc>
        <w:tc>
          <w:tcPr>
            <w:tcW w:w="1079"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both"/>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按照规定</w:t>
            </w:r>
            <w:r>
              <w:rPr>
                <w:rFonts w:hint="eastAsia" w:ascii="仿宋_GB2312" w:hAnsi="仿宋_GB2312" w:eastAsia="仿宋_GB2312" w:cs="仿宋_GB2312"/>
                <w:color w:val="auto"/>
                <w:sz w:val="21"/>
                <w:szCs w:val="21"/>
                <w:lang w:val="en-US" w:eastAsia="zh-CN"/>
              </w:rPr>
              <w:t>执行的</w:t>
            </w:r>
            <w:r>
              <w:rPr>
                <w:rFonts w:hint="eastAsia" w:ascii="仿宋_GB2312" w:hAnsi="仿宋_GB2312" w:eastAsia="仿宋_GB2312" w:cs="仿宋_GB2312"/>
                <w:color w:val="auto"/>
                <w:sz w:val="21"/>
                <w:szCs w:val="21"/>
                <w:lang w:eastAsia="zh-CN"/>
              </w:rPr>
              <w:t>，得分；</w:t>
            </w:r>
          </w:p>
          <w:p>
            <w:pPr>
              <w:jc w:val="both"/>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未按照规定</w:t>
            </w:r>
            <w:r>
              <w:rPr>
                <w:rFonts w:hint="eastAsia" w:ascii="仿宋_GB2312" w:hAnsi="仿宋_GB2312" w:eastAsia="仿宋_GB2312" w:cs="仿宋_GB2312"/>
                <w:color w:val="auto"/>
                <w:sz w:val="21"/>
                <w:szCs w:val="21"/>
                <w:lang w:val="en-US" w:eastAsia="zh-CN"/>
              </w:rPr>
              <w:t>执行的</w:t>
            </w:r>
            <w:r>
              <w:rPr>
                <w:rFonts w:hint="eastAsia" w:ascii="仿宋_GB2312" w:hAnsi="仿宋_GB2312" w:eastAsia="仿宋_GB2312" w:cs="仿宋_GB2312"/>
                <w:color w:val="auto"/>
                <w:sz w:val="21"/>
                <w:szCs w:val="21"/>
                <w:lang w:eastAsia="zh-CN"/>
              </w:rPr>
              <w:t>，不得分。</w:t>
            </w:r>
          </w:p>
        </w:tc>
      </w:tr>
      <w:tr>
        <w:tblPrEx>
          <w:tblCellMar>
            <w:top w:w="0" w:type="dxa"/>
            <w:left w:w="0" w:type="dxa"/>
            <w:bottom w:w="0" w:type="dxa"/>
            <w:right w:w="0" w:type="dxa"/>
          </w:tblCellMar>
        </w:tblPrEx>
        <w:trPr>
          <w:gridAfter w:val="1"/>
          <w:wAfter w:w="7" w:type="pct"/>
          <w:trHeight w:val="2284" w:hRule="atLeast"/>
          <w:jc w:val="center"/>
        </w:trPr>
        <w:tc>
          <w:tcPr>
            <w:tcW w:w="243" w:type="pct"/>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line="23" w:lineRule="atLeas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协议管理</w:t>
            </w:r>
          </w:p>
        </w:tc>
        <w:tc>
          <w:tcPr>
            <w:tcW w:w="237"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spacing w:line="23" w:lineRule="atLeas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医疗管理</w:t>
            </w:r>
          </w:p>
        </w:tc>
        <w:tc>
          <w:tcPr>
            <w:tcW w:w="284"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服务</w:t>
            </w:r>
          </w:p>
          <w:p>
            <w:pPr>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满意度</w:t>
            </w:r>
          </w:p>
        </w:tc>
        <w:tc>
          <w:tcPr>
            <w:tcW w:w="287"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center"/>
              <w:textAlignment w:val="center"/>
              <w:rPr>
                <w:rFonts w:hint="eastAsia" w:ascii="仿宋_GB2312" w:hAnsi="仿宋_GB2312" w:eastAsia="仿宋_GB2312" w:cs="仿宋_GB2312"/>
                <w:color w:val="FF0000"/>
                <w:sz w:val="21"/>
                <w:szCs w:val="21"/>
                <w:u w:val="thick"/>
                <w:lang w:eastAsia="zh-CN"/>
              </w:rPr>
            </w:pPr>
            <w:r>
              <w:rPr>
                <w:rFonts w:hint="eastAsia" w:ascii="仿宋_GB2312" w:hAnsi="仿宋_GB2312" w:eastAsia="仿宋_GB2312" w:cs="仿宋_GB2312"/>
                <w:color w:val="auto"/>
                <w:sz w:val="21"/>
                <w:szCs w:val="21"/>
                <w:lang w:eastAsia="zh-CN"/>
              </w:rPr>
              <w:t>40</w:t>
            </w:r>
          </w:p>
        </w:tc>
        <w:tc>
          <w:tcPr>
            <w:tcW w:w="267"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eastAsia="zh-CN"/>
              </w:rPr>
              <w:t>40</w:t>
            </w:r>
            <w:r>
              <w:rPr>
                <w:rFonts w:hint="eastAsia" w:ascii="仿宋_GB2312" w:hAnsi="仿宋_GB2312" w:eastAsia="仿宋_GB2312" w:cs="仿宋_GB2312"/>
                <w:color w:val="auto"/>
                <w:sz w:val="21"/>
                <w:szCs w:val="21"/>
              </w:rPr>
              <w:t>‰</w:t>
            </w:r>
          </w:p>
        </w:tc>
        <w:tc>
          <w:tcPr>
            <w:tcW w:w="1283"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both"/>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通过网络、表格等方式调查参保人员的满意度。</w:t>
            </w:r>
          </w:p>
        </w:tc>
        <w:tc>
          <w:tcPr>
            <w:tcW w:w="1308"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both"/>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lang w:val="en-US" w:eastAsia="zh-CN"/>
              </w:rPr>
              <w:t>医疗保障基金使用监督管理条例</w:t>
            </w:r>
            <w:r>
              <w:rPr>
                <w:rFonts w:hint="eastAsia" w:ascii="仿宋_GB2312" w:hAnsi="仿宋_GB2312" w:eastAsia="仿宋_GB2312" w:cs="仿宋_GB2312"/>
                <w:color w:val="auto"/>
                <w:sz w:val="21"/>
                <w:szCs w:val="21"/>
                <w:lang w:eastAsia="zh-CN"/>
              </w:rPr>
              <w:t>》。</w:t>
            </w:r>
          </w:p>
        </w:tc>
        <w:tc>
          <w:tcPr>
            <w:tcW w:w="1079"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both"/>
              <w:rPr>
                <w:rFonts w:hint="default"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满意度调查结果80分（含）-90分的扣</w:t>
            </w:r>
            <w:r>
              <w:rPr>
                <w:rFonts w:hint="eastAsia" w:ascii="仿宋_GB2312" w:hAnsi="仿宋_GB2312" w:eastAsia="仿宋_GB2312" w:cs="仿宋_GB2312"/>
                <w:color w:val="auto"/>
                <w:sz w:val="21"/>
                <w:szCs w:val="21"/>
                <w:lang w:val="en-US" w:eastAsia="zh-CN"/>
              </w:rPr>
              <w:t>10</w:t>
            </w:r>
            <w:r>
              <w:rPr>
                <w:rFonts w:hint="eastAsia" w:ascii="仿宋_GB2312" w:hAnsi="仿宋_GB2312" w:eastAsia="仿宋_GB2312" w:cs="仿宋_GB2312"/>
                <w:color w:val="auto"/>
                <w:sz w:val="21"/>
                <w:szCs w:val="21"/>
                <w:lang w:eastAsia="zh-CN"/>
              </w:rPr>
              <w:t>分；70分（含）-80分的扣</w:t>
            </w:r>
            <w:r>
              <w:rPr>
                <w:rFonts w:hint="eastAsia" w:ascii="仿宋_GB2312" w:hAnsi="仿宋_GB2312" w:eastAsia="仿宋_GB2312" w:cs="仿宋_GB2312"/>
                <w:color w:val="auto"/>
                <w:sz w:val="21"/>
                <w:szCs w:val="21"/>
                <w:lang w:val="en-US" w:eastAsia="zh-CN"/>
              </w:rPr>
              <w:t>20</w:t>
            </w:r>
            <w:r>
              <w:rPr>
                <w:rFonts w:hint="eastAsia" w:ascii="仿宋_GB2312" w:hAnsi="仿宋_GB2312" w:eastAsia="仿宋_GB2312" w:cs="仿宋_GB2312"/>
                <w:color w:val="auto"/>
                <w:sz w:val="21"/>
                <w:szCs w:val="21"/>
                <w:lang w:eastAsia="zh-CN"/>
              </w:rPr>
              <w:t>分；60分（含）-70分的扣</w:t>
            </w:r>
            <w:r>
              <w:rPr>
                <w:rFonts w:hint="eastAsia" w:ascii="仿宋_GB2312" w:hAnsi="仿宋_GB2312" w:eastAsia="仿宋_GB2312" w:cs="仿宋_GB2312"/>
                <w:color w:val="auto"/>
                <w:sz w:val="21"/>
                <w:szCs w:val="21"/>
                <w:lang w:val="en-US" w:eastAsia="zh-CN"/>
              </w:rPr>
              <w:t>3</w:t>
            </w:r>
            <w:r>
              <w:rPr>
                <w:rFonts w:hint="eastAsia" w:ascii="仿宋_GB2312" w:hAnsi="仿宋_GB2312" w:eastAsia="仿宋_GB2312" w:cs="仿宋_GB2312"/>
                <w:color w:val="auto"/>
                <w:sz w:val="21"/>
                <w:szCs w:val="21"/>
                <w:lang w:eastAsia="zh-CN"/>
              </w:rPr>
              <w:t>0分；小于60分的扣</w:t>
            </w:r>
            <w:r>
              <w:rPr>
                <w:rFonts w:hint="eastAsia" w:ascii="仿宋_GB2312" w:hAnsi="仿宋_GB2312" w:eastAsia="仿宋_GB2312" w:cs="仿宋_GB2312"/>
                <w:color w:val="auto"/>
                <w:sz w:val="21"/>
                <w:szCs w:val="21"/>
                <w:lang w:val="en-US" w:eastAsia="zh-CN"/>
              </w:rPr>
              <w:t>40</w:t>
            </w:r>
            <w:r>
              <w:rPr>
                <w:rFonts w:hint="eastAsia" w:ascii="仿宋_GB2312" w:hAnsi="仿宋_GB2312" w:eastAsia="仿宋_GB2312" w:cs="仿宋_GB2312"/>
                <w:color w:val="auto"/>
                <w:sz w:val="21"/>
                <w:szCs w:val="21"/>
                <w:lang w:eastAsia="zh-CN"/>
              </w:rPr>
              <w:t>分。</w:t>
            </w:r>
          </w:p>
        </w:tc>
      </w:tr>
      <w:tr>
        <w:tblPrEx>
          <w:tblCellMar>
            <w:top w:w="0" w:type="dxa"/>
            <w:left w:w="0" w:type="dxa"/>
            <w:bottom w:w="0" w:type="dxa"/>
            <w:right w:w="0" w:type="dxa"/>
          </w:tblCellMar>
        </w:tblPrEx>
        <w:trPr>
          <w:gridAfter w:val="1"/>
          <w:wAfter w:w="7" w:type="pct"/>
          <w:trHeight w:val="2137" w:hRule="atLeast"/>
          <w:jc w:val="center"/>
        </w:trPr>
        <w:tc>
          <w:tcPr>
            <w:tcW w:w="243" w:type="pct"/>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line="23" w:lineRule="atLeas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协议管理</w:t>
            </w:r>
          </w:p>
        </w:tc>
        <w:tc>
          <w:tcPr>
            <w:tcW w:w="237"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spacing w:line="23" w:lineRule="atLeas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系统管理</w:t>
            </w:r>
          </w:p>
        </w:tc>
        <w:tc>
          <w:tcPr>
            <w:tcW w:w="284"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spacing w:line="23" w:lineRule="atLeas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信息</w:t>
            </w:r>
          </w:p>
          <w:p>
            <w:pPr>
              <w:spacing w:line="23" w:lineRule="atLeas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管理</w:t>
            </w:r>
          </w:p>
        </w:tc>
        <w:tc>
          <w:tcPr>
            <w:tcW w:w="287"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center"/>
              <w:textAlignment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10</w:t>
            </w:r>
          </w:p>
        </w:tc>
        <w:tc>
          <w:tcPr>
            <w:tcW w:w="267"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eastAsia="zh-CN"/>
              </w:rPr>
              <w:t>10</w:t>
            </w:r>
            <w:r>
              <w:rPr>
                <w:rFonts w:hint="eastAsia" w:ascii="仿宋_GB2312" w:hAnsi="仿宋_GB2312" w:eastAsia="仿宋_GB2312" w:cs="仿宋_GB2312"/>
                <w:color w:val="auto"/>
                <w:sz w:val="21"/>
                <w:szCs w:val="21"/>
              </w:rPr>
              <w:t>‰</w:t>
            </w:r>
          </w:p>
        </w:tc>
        <w:tc>
          <w:tcPr>
            <w:tcW w:w="1283"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both"/>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 xml:space="preserve"> 指定部门及专人负责医疗保险信息管理，明确专职管理人员的工作职责。</w:t>
            </w:r>
          </w:p>
          <w:p>
            <w:pPr>
              <w:spacing w:line="23" w:lineRule="atLeast"/>
              <w:jc w:val="both"/>
              <w:textAlignment w:val="center"/>
              <w:rPr>
                <w:rFonts w:hint="eastAsia" w:ascii="仿宋_GB2312" w:hAnsi="仿宋_GB2312" w:eastAsia="仿宋_GB2312" w:cs="仿宋_GB2312"/>
                <w:color w:val="auto"/>
                <w:sz w:val="21"/>
                <w:szCs w:val="21"/>
              </w:rPr>
            </w:pPr>
          </w:p>
        </w:tc>
        <w:tc>
          <w:tcPr>
            <w:tcW w:w="1308"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both"/>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《青海省医疗保障定点医疗机构服务协议（2019版）》。</w:t>
            </w:r>
          </w:p>
        </w:tc>
        <w:tc>
          <w:tcPr>
            <w:tcW w:w="1079"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both"/>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有专职机构和人员，职责明确的，得分；反之不得分</w:t>
            </w:r>
          </w:p>
        </w:tc>
      </w:tr>
      <w:tr>
        <w:tblPrEx>
          <w:tblCellMar>
            <w:top w:w="0" w:type="dxa"/>
            <w:left w:w="0" w:type="dxa"/>
            <w:bottom w:w="0" w:type="dxa"/>
            <w:right w:w="0" w:type="dxa"/>
          </w:tblCellMar>
        </w:tblPrEx>
        <w:trPr>
          <w:gridAfter w:val="1"/>
          <w:wAfter w:w="7" w:type="pct"/>
          <w:trHeight w:val="3155" w:hRule="atLeast"/>
          <w:jc w:val="center"/>
        </w:trPr>
        <w:tc>
          <w:tcPr>
            <w:tcW w:w="243" w:type="pct"/>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line="23" w:lineRule="atLeas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协议管理</w:t>
            </w:r>
          </w:p>
        </w:tc>
        <w:tc>
          <w:tcPr>
            <w:tcW w:w="237"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spacing w:line="23" w:lineRule="atLeas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系统管理</w:t>
            </w:r>
          </w:p>
        </w:tc>
        <w:tc>
          <w:tcPr>
            <w:tcW w:w="284"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spacing w:line="23" w:lineRule="atLeas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系统</w:t>
            </w:r>
          </w:p>
          <w:p>
            <w:pPr>
              <w:spacing w:line="23" w:lineRule="atLeas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对接</w:t>
            </w:r>
          </w:p>
        </w:tc>
        <w:tc>
          <w:tcPr>
            <w:tcW w:w="287"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center"/>
              <w:textAlignment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10</w:t>
            </w:r>
          </w:p>
        </w:tc>
        <w:tc>
          <w:tcPr>
            <w:tcW w:w="267"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eastAsia="zh-CN"/>
              </w:rPr>
              <w:t>10</w:t>
            </w:r>
            <w:r>
              <w:rPr>
                <w:rFonts w:hint="eastAsia" w:ascii="仿宋_GB2312" w:hAnsi="仿宋_GB2312" w:eastAsia="仿宋_GB2312" w:cs="仿宋_GB2312"/>
                <w:color w:val="auto"/>
                <w:sz w:val="21"/>
                <w:szCs w:val="21"/>
              </w:rPr>
              <w:t>‰</w:t>
            </w:r>
          </w:p>
        </w:tc>
        <w:tc>
          <w:tcPr>
            <w:tcW w:w="1283"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spacing w:line="23" w:lineRule="atLeast"/>
              <w:jc w:val="both"/>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 xml:space="preserve">按医保信息系统的技术和接口标准实现与医保信息系统有效对接，配备相关 联网设施设备。  </w:t>
            </w:r>
          </w:p>
        </w:tc>
        <w:tc>
          <w:tcPr>
            <w:tcW w:w="1308"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both"/>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1.《医疗机构医疗保障定点管理暂行办法》；</w:t>
            </w:r>
          </w:p>
          <w:p>
            <w:pPr>
              <w:jc w:val="both"/>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2.《青海省医疗保障定点医疗机构服务协议（2019版）》。</w:t>
            </w:r>
          </w:p>
        </w:tc>
        <w:tc>
          <w:tcPr>
            <w:tcW w:w="1079"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both"/>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按照规定与医保信息系统进行对接，得分；未按照规定与医保信息系统进行对接，不得分。</w:t>
            </w:r>
          </w:p>
        </w:tc>
      </w:tr>
      <w:tr>
        <w:tblPrEx>
          <w:tblCellMar>
            <w:top w:w="0" w:type="dxa"/>
            <w:left w:w="0" w:type="dxa"/>
            <w:bottom w:w="0" w:type="dxa"/>
            <w:right w:w="0" w:type="dxa"/>
          </w:tblCellMar>
        </w:tblPrEx>
        <w:trPr>
          <w:gridAfter w:val="1"/>
          <w:wAfter w:w="7" w:type="pct"/>
          <w:trHeight w:val="1471" w:hRule="atLeast"/>
          <w:jc w:val="center"/>
        </w:trPr>
        <w:tc>
          <w:tcPr>
            <w:tcW w:w="243" w:type="pct"/>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line="23" w:lineRule="atLeas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协议管理</w:t>
            </w:r>
          </w:p>
        </w:tc>
        <w:tc>
          <w:tcPr>
            <w:tcW w:w="237"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spacing w:line="23" w:lineRule="atLeas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系统管理</w:t>
            </w:r>
          </w:p>
        </w:tc>
        <w:tc>
          <w:tcPr>
            <w:tcW w:w="284"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spacing w:line="23" w:lineRule="atLeas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系统</w:t>
            </w:r>
          </w:p>
          <w:p>
            <w:pPr>
              <w:spacing w:line="23" w:lineRule="atLeas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安全</w:t>
            </w:r>
          </w:p>
        </w:tc>
        <w:tc>
          <w:tcPr>
            <w:tcW w:w="287"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center"/>
              <w:textAlignment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10</w:t>
            </w:r>
          </w:p>
        </w:tc>
        <w:tc>
          <w:tcPr>
            <w:tcW w:w="267"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eastAsia="zh-CN"/>
              </w:rPr>
              <w:t>10</w:t>
            </w:r>
            <w:r>
              <w:rPr>
                <w:rFonts w:hint="eastAsia" w:ascii="仿宋_GB2312" w:hAnsi="仿宋_GB2312" w:eastAsia="仿宋_GB2312" w:cs="仿宋_GB2312"/>
                <w:color w:val="auto"/>
                <w:sz w:val="21"/>
                <w:szCs w:val="21"/>
              </w:rPr>
              <w:t>‰</w:t>
            </w:r>
          </w:p>
        </w:tc>
        <w:tc>
          <w:tcPr>
            <w:tcW w:w="1283"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spacing w:line="23" w:lineRule="atLeast"/>
              <w:jc w:val="both"/>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确保网络与互联网物理隔离，</w:t>
            </w:r>
            <w:r>
              <w:rPr>
                <w:rFonts w:hint="eastAsia" w:ascii="仿宋_GB2312" w:hAnsi="仿宋_GB2312" w:eastAsia="仿宋_GB2312" w:cs="仿宋_GB2312"/>
                <w:color w:val="auto"/>
                <w:sz w:val="21"/>
                <w:szCs w:val="21"/>
                <w:lang w:eastAsia="zh-CN"/>
              </w:rPr>
              <w:t>与其他</w:t>
            </w:r>
            <w:r>
              <w:rPr>
                <w:rFonts w:hint="eastAsia" w:ascii="仿宋_GB2312" w:hAnsi="仿宋_GB2312" w:eastAsia="仿宋_GB2312" w:cs="仿宋_GB2312"/>
                <w:color w:val="auto"/>
                <w:sz w:val="21"/>
                <w:szCs w:val="21"/>
              </w:rPr>
              <w:t>外部网络联网采用有效的安全隔离措施。</w:t>
            </w:r>
          </w:p>
        </w:tc>
        <w:tc>
          <w:tcPr>
            <w:tcW w:w="1308"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both"/>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val="en-US" w:eastAsia="zh-CN"/>
              </w:rPr>
              <w:t>1.</w:t>
            </w:r>
            <w:r>
              <w:rPr>
                <w:rFonts w:hint="eastAsia" w:ascii="仿宋_GB2312" w:hAnsi="仿宋_GB2312" w:eastAsia="仿宋_GB2312" w:cs="仿宋_GB2312"/>
                <w:color w:val="auto"/>
                <w:sz w:val="21"/>
                <w:szCs w:val="21"/>
                <w:lang w:eastAsia="zh-CN"/>
              </w:rPr>
              <w:t>《医疗机构医疗保障定点管理暂行办法》；2.《青海省医疗保障定点医疗机构服务协议（2019版）》。</w:t>
            </w:r>
          </w:p>
        </w:tc>
        <w:tc>
          <w:tcPr>
            <w:tcW w:w="1079"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both"/>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按照规定</w:t>
            </w:r>
            <w:r>
              <w:rPr>
                <w:rFonts w:hint="eastAsia" w:ascii="仿宋_GB2312" w:hAnsi="仿宋_GB2312" w:eastAsia="仿宋_GB2312" w:cs="仿宋_GB2312"/>
                <w:color w:val="auto"/>
                <w:sz w:val="21"/>
                <w:szCs w:val="21"/>
                <w:lang w:val="en-US" w:eastAsia="zh-CN"/>
              </w:rPr>
              <w:t>执行的</w:t>
            </w:r>
            <w:r>
              <w:rPr>
                <w:rFonts w:hint="eastAsia" w:ascii="仿宋_GB2312" w:hAnsi="仿宋_GB2312" w:eastAsia="仿宋_GB2312" w:cs="仿宋_GB2312"/>
                <w:color w:val="auto"/>
                <w:sz w:val="21"/>
                <w:szCs w:val="21"/>
                <w:lang w:eastAsia="zh-CN"/>
              </w:rPr>
              <w:t>，得分；</w:t>
            </w:r>
          </w:p>
          <w:p>
            <w:pPr>
              <w:jc w:val="both"/>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未按照规定</w:t>
            </w:r>
            <w:r>
              <w:rPr>
                <w:rFonts w:hint="eastAsia" w:ascii="仿宋_GB2312" w:hAnsi="仿宋_GB2312" w:eastAsia="仿宋_GB2312" w:cs="仿宋_GB2312"/>
                <w:color w:val="auto"/>
                <w:sz w:val="21"/>
                <w:szCs w:val="21"/>
                <w:lang w:val="en-US" w:eastAsia="zh-CN"/>
              </w:rPr>
              <w:t>执行的</w:t>
            </w:r>
            <w:r>
              <w:rPr>
                <w:rFonts w:hint="eastAsia" w:ascii="仿宋_GB2312" w:hAnsi="仿宋_GB2312" w:eastAsia="仿宋_GB2312" w:cs="仿宋_GB2312"/>
                <w:color w:val="auto"/>
                <w:sz w:val="21"/>
                <w:szCs w:val="21"/>
                <w:lang w:eastAsia="zh-CN"/>
              </w:rPr>
              <w:t>，不得分。</w:t>
            </w:r>
          </w:p>
        </w:tc>
      </w:tr>
      <w:tr>
        <w:tblPrEx>
          <w:tblCellMar>
            <w:top w:w="0" w:type="dxa"/>
            <w:left w:w="0" w:type="dxa"/>
            <w:bottom w:w="0" w:type="dxa"/>
            <w:right w:w="0" w:type="dxa"/>
          </w:tblCellMar>
        </w:tblPrEx>
        <w:trPr>
          <w:gridAfter w:val="1"/>
          <w:wAfter w:w="7" w:type="pct"/>
          <w:trHeight w:val="23" w:hRule="atLeast"/>
          <w:jc w:val="center"/>
        </w:trPr>
        <w:tc>
          <w:tcPr>
            <w:tcW w:w="243" w:type="pct"/>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line="23" w:lineRule="atLeas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协议管理</w:t>
            </w:r>
          </w:p>
        </w:tc>
        <w:tc>
          <w:tcPr>
            <w:tcW w:w="237"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spacing w:line="23" w:lineRule="atLeas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系统管理</w:t>
            </w:r>
          </w:p>
        </w:tc>
        <w:tc>
          <w:tcPr>
            <w:tcW w:w="284"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spacing w:line="23" w:lineRule="atLeas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业务</w:t>
            </w:r>
          </w:p>
          <w:p>
            <w:pPr>
              <w:spacing w:line="23" w:lineRule="atLeas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编码</w:t>
            </w:r>
          </w:p>
        </w:tc>
        <w:tc>
          <w:tcPr>
            <w:tcW w:w="287"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center"/>
              <w:textAlignment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10</w:t>
            </w:r>
          </w:p>
        </w:tc>
        <w:tc>
          <w:tcPr>
            <w:tcW w:w="267"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eastAsia="zh-CN"/>
              </w:rPr>
              <w:t>10</w:t>
            </w:r>
            <w:r>
              <w:rPr>
                <w:rFonts w:hint="eastAsia" w:ascii="仿宋_GB2312" w:hAnsi="仿宋_GB2312" w:eastAsia="仿宋_GB2312" w:cs="仿宋_GB2312"/>
                <w:color w:val="auto"/>
                <w:sz w:val="21"/>
                <w:szCs w:val="21"/>
              </w:rPr>
              <w:t>‰</w:t>
            </w:r>
          </w:p>
        </w:tc>
        <w:tc>
          <w:tcPr>
            <w:tcW w:w="1283"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both"/>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 xml:space="preserve">按照医保信息业务编码标准进行数据处理。 </w:t>
            </w:r>
          </w:p>
          <w:p>
            <w:pPr>
              <w:spacing w:line="23" w:lineRule="atLeast"/>
              <w:jc w:val="both"/>
              <w:textAlignment w:val="center"/>
              <w:rPr>
                <w:rFonts w:hint="eastAsia" w:ascii="仿宋_GB2312" w:hAnsi="仿宋_GB2312" w:eastAsia="仿宋_GB2312" w:cs="仿宋_GB2312"/>
                <w:color w:val="auto"/>
                <w:sz w:val="21"/>
                <w:szCs w:val="21"/>
              </w:rPr>
            </w:pPr>
          </w:p>
        </w:tc>
        <w:tc>
          <w:tcPr>
            <w:tcW w:w="1308"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both"/>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val="en-US" w:eastAsia="zh-CN"/>
              </w:rPr>
              <w:t>1.</w:t>
            </w:r>
            <w:r>
              <w:rPr>
                <w:rFonts w:hint="eastAsia" w:ascii="仿宋_GB2312" w:hAnsi="仿宋_GB2312" w:eastAsia="仿宋_GB2312" w:cs="仿宋_GB2312"/>
                <w:color w:val="auto"/>
                <w:sz w:val="21"/>
                <w:szCs w:val="21"/>
                <w:lang w:eastAsia="zh-CN"/>
              </w:rPr>
              <w:t>《医疗机构医疗保障定点管理暂行办法》；2.《青海省医疗保障定点医疗机构服务协议（2019版）》。</w:t>
            </w:r>
          </w:p>
        </w:tc>
        <w:tc>
          <w:tcPr>
            <w:tcW w:w="1079"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both"/>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按照规定</w:t>
            </w:r>
            <w:r>
              <w:rPr>
                <w:rFonts w:hint="eastAsia" w:ascii="仿宋_GB2312" w:hAnsi="仿宋_GB2312" w:eastAsia="仿宋_GB2312" w:cs="仿宋_GB2312"/>
                <w:color w:val="auto"/>
                <w:sz w:val="21"/>
                <w:szCs w:val="21"/>
                <w:lang w:val="en-US" w:eastAsia="zh-CN"/>
              </w:rPr>
              <w:t>执行的</w:t>
            </w:r>
            <w:r>
              <w:rPr>
                <w:rFonts w:hint="eastAsia" w:ascii="仿宋_GB2312" w:hAnsi="仿宋_GB2312" w:eastAsia="仿宋_GB2312" w:cs="仿宋_GB2312"/>
                <w:color w:val="auto"/>
                <w:sz w:val="21"/>
                <w:szCs w:val="21"/>
                <w:lang w:eastAsia="zh-CN"/>
              </w:rPr>
              <w:t>，得分；</w:t>
            </w:r>
          </w:p>
          <w:p>
            <w:pPr>
              <w:jc w:val="both"/>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未按照规定</w:t>
            </w:r>
            <w:r>
              <w:rPr>
                <w:rFonts w:hint="eastAsia" w:ascii="仿宋_GB2312" w:hAnsi="仿宋_GB2312" w:eastAsia="仿宋_GB2312" w:cs="仿宋_GB2312"/>
                <w:color w:val="auto"/>
                <w:sz w:val="21"/>
                <w:szCs w:val="21"/>
                <w:lang w:val="en-US" w:eastAsia="zh-CN"/>
              </w:rPr>
              <w:t>执行的</w:t>
            </w:r>
            <w:r>
              <w:rPr>
                <w:rFonts w:hint="eastAsia" w:ascii="仿宋_GB2312" w:hAnsi="仿宋_GB2312" w:eastAsia="仿宋_GB2312" w:cs="仿宋_GB2312"/>
                <w:color w:val="auto"/>
                <w:sz w:val="21"/>
                <w:szCs w:val="21"/>
                <w:lang w:eastAsia="zh-CN"/>
              </w:rPr>
              <w:t>，不得分。</w:t>
            </w:r>
          </w:p>
        </w:tc>
      </w:tr>
      <w:tr>
        <w:tblPrEx>
          <w:tblCellMar>
            <w:top w:w="0" w:type="dxa"/>
            <w:left w:w="0" w:type="dxa"/>
            <w:bottom w:w="0" w:type="dxa"/>
            <w:right w:w="0" w:type="dxa"/>
          </w:tblCellMar>
        </w:tblPrEx>
        <w:trPr>
          <w:gridAfter w:val="1"/>
          <w:wAfter w:w="7" w:type="pct"/>
          <w:trHeight w:val="2576" w:hRule="atLeast"/>
          <w:jc w:val="center"/>
        </w:trPr>
        <w:tc>
          <w:tcPr>
            <w:tcW w:w="243" w:type="pct"/>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line="23" w:lineRule="atLeas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协议管理</w:t>
            </w:r>
          </w:p>
        </w:tc>
        <w:tc>
          <w:tcPr>
            <w:tcW w:w="237"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spacing w:line="23" w:lineRule="atLeas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系统管理</w:t>
            </w:r>
          </w:p>
        </w:tc>
        <w:tc>
          <w:tcPr>
            <w:tcW w:w="284"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spacing w:line="23" w:lineRule="atLeas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数据</w:t>
            </w:r>
          </w:p>
          <w:p>
            <w:pPr>
              <w:spacing w:line="23" w:lineRule="atLeas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上传</w:t>
            </w:r>
          </w:p>
        </w:tc>
        <w:tc>
          <w:tcPr>
            <w:tcW w:w="287"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center"/>
              <w:textAlignment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10</w:t>
            </w:r>
          </w:p>
        </w:tc>
        <w:tc>
          <w:tcPr>
            <w:tcW w:w="267"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eastAsia="zh-CN"/>
              </w:rPr>
              <w:t>10</w:t>
            </w:r>
            <w:r>
              <w:rPr>
                <w:rFonts w:hint="eastAsia" w:ascii="仿宋_GB2312" w:hAnsi="仿宋_GB2312" w:eastAsia="仿宋_GB2312" w:cs="仿宋_GB2312"/>
                <w:color w:val="auto"/>
                <w:sz w:val="21"/>
                <w:szCs w:val="21"/>
              </w:rPr>
              <w:t>‰</w:t>
            </w:r>
          </w:p>
        </w:tc>
        <w:tc>
          <w:tcPr>
            <w:tcW w:w="1283"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both"/>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即时传输参保人员就医、结算及其他相关信息，保证信息的真实、准确、完整。</w:t>
            </w:r>
          </w:p>
          <w:p>
            <w:pPr>
              <w:spacing w:line="23" w:lineRule="atLeast"/>
              <w:jc w:val="both"/>
              <w:textAlignment w:val="center"/>
              <w:rPr>
                <w:rFonts w:hint="eastAsia" w:ascii="仿宋_GB2312" w:hAnsi="仿宋_GB2312" w:eastAsia="仿宋_GB2312" w:cs="仿宋_GB2312"/>
                <w:color w:val="auto"/>
                <w:sz w:val="21"/>
                <w:szCs w:val="21"/>
              </w:rPr>
            </w:pPr>
          </w:p>
        </w:tc>
        <w:tc>
          <w:tcPr>
            <w:tcW w:w="1308"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both"/>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1.《医疗机构医疗保障定点管理暂行办法》；2.《青海省医疗保障定点医疗机构服务协议（2019版）》。</w:t>
            </w:r>
          </w:p>
        </w:tc>
        <w:tc>
          <w:tcPr>
            <w:tcW w:w="1079"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both"/>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根据医保局端口填报上报内容评分，期内未发生信息传输不规范事件得满分。未按信息编码规则上传数据的；上传信息数据不全面、不准确、未按时限要求的；每出现一例扣</w:t>
            </w:r>
            <w:r>
              <w:rPr>
                <w:rFonts w:hint="eastAsia" w:ascii="仿宋_GB2312" w:hAnsi="仿宋_GB2312" w:eastAsia="仿宋_GB2312" w:cs="仿宋_GB2312"/>
                <w:color w:val="auto"/>
                <w:sz w:val="21"/>
                <w:szCs w:val="21"/>
                <w:lang w:val="en-US" w:eastAsia="zh-CN"/>
              </w:rPr>
              <w:t>5</w:t>
            </w:r>
            <w:r>
              <w:rPr>
                <w:rFonts w:hint="eastAsia" w:ascii="仿宋_GB2312" w:hAnsi="仿宋_GB2312" w:eastAsia="仿宋_GB2312" w:cs="仿宋_GB2312"/>
                <w:color w:val="auto"/>
                <w:sz w:val="21"/>
                <w:szCs w:val="21"/>
                <w:lang w:eastAsia="zh-CN"/>
              </w:rPr>
              <w:t>分，扣完为止。</w:t>
            </w:r>
          </w:p>
        </w:tc>
      </w:tr>
      <w:tr>
        <w:tblPrEx>
          <w:tblCellMar>
            <w:top w:w="0" w:type="dxa"/>
            <w:left w:w="0" w:type="dxa"/>
            <w:bottom w:w="0" w:type="dxa"/>
            <w:right w:w="0" w:type="dxa"/>
          </w:tblCellMar>
        </w:tblPrEx>
        <w:trPr>
          <w:gridAfter w:val="1"/>
          <w:wAfter w:w="7" w:type="pct"/>
          <w:trHeight w:val="3807" w:hRule="atLeast"/>
          <w:jc w:val="center"/>
        </w:trPr>
        <w:tc>
          <w:tcPr>
            <w:tcW w:w="243" w:type="pct"/>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line="23" w:lineRule="atLeas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协议管理</w:t>
            </w:r>
          </w:p>
        </w:tc>
        <w:tc>
          <w:tcPr>
            <w:tcW w:w="237"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spacing w:line="23" w:lineRule="atLeas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系统管理</w:t>
            </w:r>
          </w:p>
        </w:tc>
        <w:tc>
          <w:tcPr>
            <w:tcW w:w="284"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spacing w:line="23" w:lineRule="atLeas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数据</w:t>
            </w:r>
          </w:p>
          <w:p>
            <w:pPr>
              <w:spacing w:line="23" w:lineRule="atLeas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安全</w:t>
            </w:r>
          </w:p>
        </w:tc>
        <w:tc>
          <w:tcPr>
            <w:tcW w:w="287"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center"/>
              <w:textAlignment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10</w:t>
            </w:r>
          </w:p>
        </w:tc>
        <w:tc>
          <w:tcPr>
            <w:tcW w:w="267"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eastAsia="zh-CN"/>
              </w:rPr>
              <w:t>10</w:t>
            </w:r>
            <w:r>
              <w:rPr>
                <w:rFonts w:hint="eastAsia" w:ascii="仿宋_GB2312" w:hAnsi="仿宋_GB2312" w:eastAsia="仿宋_GB2312" w:cs="仿宋_GB2312"/>
                <w:color w:val="auto"/>
                <w:sz w:val="21"/>
                <w:szCs w:val="21"/>
              </w:rPr>
              <w:t>‰</w:t>
            </w:r>
          </w:p>
        </w:tc>
        <w:tc>
          <w:tcPr>
            <w:tcW w:w="1283"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both"/>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 xml:space="preserve">做好与医保相关信息系统的安全保障工作，遵守数据安全有关制度，保护参 保人员隐私。 </w:t>
            </w:r>
          </w:p>
          <w:p>
            <w:pPr>
              <w:spacing w:line="23" w:lineRule="atLeast"/>
              <w:jc w:val="both"/>
              <w:textAlignment w:val="center"/>
              <w:rPr>
                <w:rFonts w:hint="eastAsia" w:ascii="仿宋_GB2312" w:hAnsi="仿宋_GB2312" w:eastAsia="仿宋_GB2312" w:cs="仿宋_GB2312"/>
                <w:color w:val="auto"/>
                <w:sz w:val="21"/>
                <w:szCs w:val="21"/>
              </w:rPr>
            </w:pPr>
          </w:p>
        </w:tc>
        <w:tc>
          <w:tcPr>
            <w:tcW w:w="1308"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both"/>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val="en-US" w:eastAsia="zh-CN"/>
              </w:rPr>
              <w:t>1.</w:t>
            </w:r>
            <w:r>
              <w:rPr>
                <w:rFonts w:hint="eastAsia" w:ascii="仿宋_GB2312" w:hAnsi="仿宋_GB2312" w:eastAsia="仿宋_GB2312" w:cs="仿宋_GB2312"/>
                <w:color w:val="auto"/>
                <w:sz w:val="21"/>
                <w:szCs w:val="21"/>
                <w:lang w:eastAsia="zh-CN"/>
              </w:rPr>
              <w:t>《医疗机构医疗保障定点管理暂行办法》；</w:t>
            </w:r>
          </w:p>
          <w:p>
            <w:pPr>
              <w:jc w:val="both"/>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val="en-US" w:eastAsia="zh-CN"/>
              </w:rPr>
              <w:t>2.</w:t>
            </w:r>
            <w:r>
              <w:rPr>
                <w:rFonts w:hint="eastAsia" w:ascii="仿宋_GB2312" w:hAnsi="仿宋_GB2312" w:eastAsia="仿宋_GB2312" w:cs="仿宋_GB2312"/>
                <w:color w:val="auto"/>
                <w:sz w:val="21"/>
                <w:szCs w:val="21"/>
                <w:lang w:eastAsia="zh-CN"/>
              </w:rPr>
              <w:t>《青海省医疗保障定点医疗机构服务协议（2019版）》。</w:t>
            </w:r>
          </w:p>
        </w:tc>
        <w:tc>
          <w:tcPr>
            <w:tcW w:w="1079"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both"/>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按照规定</w:t>
            </w:r>
            <w:r>
              <w:rPr>
                <w:rFonts w:hint="eastAsia" w:ascii="仿宋_GB2312" w:hAnsi="仿宋_GB2312" w:eastAsia="仿宋_GB2312" w:cs="仿宋_GB2312"/>
                <w:color w:val="auto"/>
                <w:sz w:val="21"/>
                <w:szCs w:val="21"/>
                <w:lang w:val="en-US" w:eastAsia="zh-CN"/>
              </w:rPr>
              <w:t>执行的</w:t>
            </w:r>
            <w:r>
              <w:rPr>
                <w:rFonts w:hint="eastAsia" w:ascii="仿宋_GB2312" w:hAnsi="仿宋_GB2312" w:eastAsia="仿宋_GB2312" w:cs="仿宋_GB2312"/>
                <w:color w:val="auto"/>
                <w:sz w:val="21"/>
                <w:szCs w:val="21"/>
                <w:lang w:eastAsia="zh-CN"/>
              </w:rPr>
              <w:t>，得分；未按照规定</w:t>
            </w:r>
            <w:r>
              <w:rPr>
                <w:rFonts w:hint="eastAsia" w:ascii="仿宋_GB2312" w:hAnsi="仿宋_GB2312" w:eastAsia="仿宋_GB2312" w:cs="仿宋_GB2312"/>
                <w:color w:val="auto"/>
                <w:sz w:val="21"/>
                <w:szCs w:val="21"/>
                <w:lang w:val="en-US" w:eastAsia="zh-CN"/>
              </w:rPr>
              <w:t>执行的</w:t>
            </w:r>
            <w:r>
              <w:rPr>
                <w:rFonts w:hint="eastAsia" w:ascii="仿宋_GB2312" w:hAnsi="仿宋_GB2312" w:eastAsia="仿宋_GB2312" w:cs="仿宋_GB2312"/>
                <w:color w:val="auto"/>
                <w:sz w:val="21"/>
                <w:szCs w:val="21"/>
                <w:lang w:eastAsia="zh-CN"/>
              </w:rPr>
              <w:t>，不得分。</w:t>
            </w:r>
          </w:p>
        </w:tc>
      </w:tr>
      <w:tr>
        <w:tblPrEx>
          <w:tblCellMar>
            <w:top w:w="0" w:type="dxa"/>
            <w:left w:w="0" w:type="dxa"/>
            <w:bottom w:w="0" w:type="dxa"/>
            <w:right w:w="0" w:type="dxa"/>
          </w:tblCellMar>
        </w:tblPrEx>
        <w:trPr>
          <w:gridAfter w:val="1"/>
          <w:wAfter w:w="7" w:type="pct"/>
          <w:trHeight w:val="1021" w:hRule="atLeast"/>
          <w:jc w:val="center"/>
        </w:trPr>
        <w:tc>
          <w:tcPr>
            <w:tcW w:w="243" w:type="pct"/>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line="23" w:lineRule="atLeas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协议管理</w:t>
            </w:r>
          </w:p>
        </w:tc>
        <w:tc>
          <w:tcPr>
            <w:tcW w:w="237"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spacing w:line="23" w:lineRule="atLeas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系统管理</w:t>
            </w:r>
          </w:p>
        </w:tc>
        <w:tc>
          <w:tcPr>
            <w:tcW w:w="284"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spacing w:line="23" w:lineRule="atLeas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应急</w:t>
            </w:r>
          </w:p>
          <w:p>
            <w:pPr>
              <w:spacing w:line="23" w:lineRule="atLeas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预案</w:t>
            </w:r>
          </w:p>
        </w:tc>
        <w:tc>
          <w:tcPr>
            <w:tcW w:w="287"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center"/>
              <w:textAlignment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10</w:t>
            </w:r>
          </w:p>
        </w:tc>
        <w:tc>
          <w:tcPr>
            <w:tcW w:w="267"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eastAsia="zh-CN"/>
              </w:rPr>
              <w:t>10</w:t>
            </w:r>
            <w:r>
              <w:rPr>
                <w:rFonts w:hint="eastAsia" w:ascii="仿宋_GB2312" w:hAnsi="仿宋_GB2312" w:eastAsia="仿宋_GB2312" w:cs="仿宋_GB2312"/>
                <w:color w:val="auto"/>
                <w:sz w:val="21"/>
                <w:szCs w:val="21"/>
              </w:rPr>
              <w:t>‰</w:t>
            </w:r>
          </w:p>
        </w:tc>
        <w:tc>
          <w:tcPr>
            <w:tcW w:w="1283"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spacing w:line="23" w:lineRule="atLeast"/>
              <w:jc w:val="both"/>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 xml:space="preserve"> 制定应急预案，发生故障时及时通知医保经办机构并启动应急预案；保证参保人员正常就医结算。 </w:t>
            </w:r>
          </w:p>
        </w:tc>
        <w:tc>
          <w:tcPr>
            <w:tcW w:w="1308"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both"/>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《青海省医疗保障定点医疗机构服务协议（2019版）》。</w:t>
            </w:r>
          </w:p>
        </w:tc>
        <w:tc>
          <w:tcPr>
            <w:tcW w:w="1079"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both"/>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制定应急预案</w:t>
            </w:r>
            <w:r>
              <w:rPr>
                <w:rFonts w:hint="eastAsia" w:ascii="仿宋_GB2312" w:hAnsi="仿宋_GB2312" w:eastAsia="仿宋_GB2312" w:cs="仿宋_GB2312"/>
                <w:color w:val="auto"/>
                <w:sz w:val="21"/>
                <w:szCs w:val="21"/>
                <w:lang w:val="en-US" w:eastAsia="zh-CN"/>
              </w:rPr>
              <w:t>并按照预案做好应急处置的，得分；反之，不得分。</w:t>
            </w:r>
          </w:p>
        </w:tc>
      </w:tr>
      <w:tr>
        <w:tblPrEx>
          <w:tblCellMar>
            <w:top w:w="0" w:type="dxa"/>
            <w:left w:w="0" w:type="dxa"/>
            <w:bottom w:w="0" w:type="dxa"/>
            <w:right w:w="0" w:type="dxa"/>
          </w:tblCellMar>
        </w:tblPrEx>
        <w:trPr>
          <w:gridAfter w:val="1"/>
          <w:wAfter w:w="7" w:type="pct"/>
          <w:trHeight w:val="2122" w:hRule="atLeast"/>
          <w:jc w:val="center"/>
        </w:trPr>
        <w:tc>
          <w:tcPr>
            <w:tcW w:w="243" w:type="pct"/>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line="23" w:lineRule="atLeas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协议管理</w:t>
            </w:r>
          </w:p>
        </w:tc>
        <w:tc>
          <w:tcPr>
            <w:tcW w:w="237"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spacing w:line="23" w:lineRule="atLeas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财务管理</w:t>
            </w:r>
          </w:p>
        </w:tc>
        <w:tc>
          <w:tcPr>
            <w:tcW w:w="284"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spacing w:line="23" w:lineRule="atLeas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财务</w:t>
            </w:r>
          </w:p>
          <w:p>
            <w:pPr>
              <w:spacing w:line="23" w:lineRule="atLeas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制度</w:t>
            </w:r>
          </w:p>
        </w:tc>
        <w:tc>
          <w:tcPr>
            <w:tcW w:w="287"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center"/>
              <w:textAlignment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10</w:t>
            </w:r>
          </w:p>
        </w:tc>
        <w:tc>
          <w:tcPr>
            <w:tcW w:w="267"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eastAsia="zh-CN"/>
              </w:rPr>
              <w:t>10</w:t>
            </w:r>
            <w:r>
              <w:rPr>
                <w:rFonts w:hint="eastAsia" w:ascii="仿宋_GB2312" w:hAnsi="仿宋_GB2312" w:eastAsia="仿宋_GB2312" w:cs="仿宋_GB2312"/>
                <w:color w:val="auto"/>
                <w:sz w:val="21"/>
                <w:szCs w:val="21"/>
              </w:rPr>
              <w:t>‰</w:t>
            </w:r>
          </w:p>
        </w:tc>
        <w:tc>
          <w:tcPr>
            <w:tcW w:w="1283"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both"/>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 xml:space="preserve">严格执行政府部门的医院财务制度、会计制度、对账制度等，规范财务管理。 </w:t>
            </w:r>
          </w:p>
        </w:tc>
        <w:tc>
          <w:tcPr>
            <w:tcW w:w="1308"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both"/>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 xml:space="preserve">《医疗机构医疗保障定点管理暂行办法》。 </w:t>
            </w:r>
          </w:p>
        </w:tc>
        <w:tc>
          <w:tcPr>
            <w:tcW w:w="1079"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both"/>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按照规定执行医疗机构财务制度和会计制度，得分；</w:t>
            </w:r>
          </w:p>
          <w:p>
            <w:pPr>
              <w:jc w:val="both"/>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未按照规定执行医疗机构财务制度和会计制度，不得分。</w:t>
            </w:r>
          </w:p>
        </w:tc>
      </w:tr>
      <w:tr>
        <w:tblPrEx>
          <w:tblCellMar>
            <w:top w:w="0" w:type="dxa"/>
            <w:left w:w="0" w:type="dxa"/>
            <w:bottom w:w="0" w:type="dxa"/>
            <w:right w:w="0" w:type="dxa"/>
          </w:tblCellMar>
        </w:tblPrEx>
        <w:trPr>
          <w:gridAfter w:val="1"/>
          <w:wAfter w:w="7" w:type="pct"/>
          <w:trHeight w:val="2137" w:hRule="atLeast"/>
          <w:jc w:val="center"/>
        </w:trPr>
        <w:tc>
          <w:tcPr>
            <w:tcW w:w="243" w:type="pct"/>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line="23" w:lineRule="atLeas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协议管理</w:t>
            </w:r>
          </w:p>
        </w:tc>
        <w:tc>
          <w:tcPr>
            <w:tcW w:w="237"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spacing w:line="23" w:lineRule="atLeas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财务管理</w:t>
            </w:r>
          </w:p>
        </w:tc>
        <w:tc>
          <w:tcPr>
            <w:tcW w:w="284"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spacing w:line="23" w:lineRule="atLeas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财务</w:t>
            </w:r>
          </w:p>
          <w:p>
            <w:pPr>
              <w:spacing w:line="23" w:lineRule="atLeas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账表</w:t>
            </w:r>
          </w:p>
        </w:tc>
        <w:tc>
          <w:tcPr>
            <w:tcW w:w="287"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center"/>
              <w:textAlignment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10</w:t>
            </w:r>
          </w:p>
        </w:tc>
        <w:tc>
          <w:tcPr>
            <w:tcW w:w="267"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eastAsia="zh-CN"/>
              </w:rPr>
              <w:t>10</w:t>
            </w:r>
            <w:r>
              <w:rPr>
                <w:rFonts w:hint="eastAsia" w:ascii="仿宋_GB2312" w:hAnsi="仿宋_GB2312" w:eastAsia="仿宋_GB2312" w:cs="仿宋_GB2312"/>
                <w:color w:val="auto"/>
                <w:sz w:val="21"/>
                <w:szCs w:val="21"/>
              </w:rPr>
              <w:t>‰</w:t>
            </w:r>
          </w:p>
        </w:tc>
        <w:tc>
          <w:tcPr>
            <w:tcW w:w="1283"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spacing w:line="23" w:lineRule="atLeast"/>
              <w:jc w:val="both"/>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设立总账、现金账、银行账、明细账等完整财务账表；业务往来记录完整、 真实。</w:t>
            </w:r>
          </w:p>
        </w:tc>
        <w:tc>
          <w:tcPr>
            <w:tcW w:w="1308"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both"/>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《医疗保障基金使用监督管理条例》。</w:t>
            </w:r>
          </w:p>
          <w:p>
            <w:pPr>
              <w:jc w:val="both"/>
              <w:rPr>
                <w:rFonts w:hint="eastAsia" w:ascii="仿宋_GB2312" w:hAnsi="仿宋_GB2312" w:eastAsia="仿宋_GB2312" w:cs="仿宋_GB2312"/>
                <w:color w:val="auto"/>
                <w:sz w:val="21"/>
                <w:szCs w:val="21"/>
                <w:lang w:eastAsia="zh-CN"/>
              </w:rPr>
            </w:pPr>
          </w:p>
        </w:tc>
        <w:tc>
          <w:tcPr>
            <w:tcW w:w="1079"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both"/>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按照规定执行医疗机构财务制度和会计制度，得分；</w:t>
            </w:r>
          </w:p>
          <w:p>
            <w:pPr>
              <w:jc w:val="both"/>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未按照规定执行医疗机构财务制度和会计制度，不得分。</w:t>
            </w:r>
          </w:p>
        </w:tc>
      </w:tr>
      <w:tr>
        <w:tblPrEx>
          <w:tblCellMar>
            <w:top w:w="0" w:type="dxa"/>
            <w:left w:w="0" w:type="dxa"/>
            <w:bottom w:w="0" w:type="dxa"/>
            <w:right w:w="0" w:type="dxa"/>
          </w:tblCellMar>
        </w:tblPrEx>
        <w:trPr>
          <w:gridAfter w:val="1"/>
          <w:wAfter w:w="7" w:type="pct"/>
          <w:trHeight w:val="4171" w:hRule="atLeast"/>
          <w:jc w:val="center"/>
        </w:trPr>
        <w:tc>
          <w:tcPr>
            <w:tcW w:w="243" w:type="pct"/>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协议管理</w:t>
            </w:r>
          </w:p>
        </w:tc>
        <w:tc>
          <w:tcPr>
            <w:tcW w:w="237"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财务管理</w:t>
            </w:r>
          </w:p>
        </w:tc>
        <w:tc>
          <w:tcPr>
            <w:tcW w:w="284"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进销</w:t>
            </w:r>
          </w:p>
          <w:p>
            <w:pPr>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存管理</w:t>
            </w:r>
          </w:p>
        </w:tc>
        <w:tc>
          <w:tcPr>
            <w:tcW w:w="287"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center"/>
              <w:textAlignment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10</w:t>
            </w:r>
          </w:p>
        </w:tc>
        <w:tc>
          <w:tcPr>
            <w:tcW w:w="267"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eastAsia="zh-CN"/>
              </w:rPr>
              <w:t>10</w:t>
            </w:r>
            <w:r>
              <w:rPr>
                <w:rFonts w:hint="eastAsia" w:ascii="仿宋_GB2312" w:hAnsi="仿宋_GB2312" w:eastAsia="仿宋_GB2312" w:cs="仿宋_GB2312"/>
                <w:color w:val="auto"/>
                <w:sz w:val="21"/>
                <w:szCs w:val="21"/>
              </w:rPr>
              <w:t>‰</w:t>
            </w:r>
          </w:p>
        </w:tc>
        <w:tc>
          <w:tcPr>
            <w:tcW w:w="1283"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both"/>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按照规定建立真实、完整、准确的购销存台账。建立药品及医用材料真实、完整、准确的购销存台账；保存真实完整的购进和使用记录。</w:t>
            </w:r>
          </w:p>
        </w:tc>
        <w:tc>
          <w:tcPr>
            <w:tcW w:w="1308"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both"/>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1.《医疗保障基金使用监督管理条例》；</w:t>
            </w:r>
          </w:p>
          <w:p>
            <w:pPr>
              <w:jc w:val="both"/>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2.《青海省医疗保障定点医疗机构服务协议（2019版）》。</w:t>
            </w:r>
          </w:p>
        </w:tc>
        <w:tc>
          <w:tcPr>
            <w:tcW w:w="1079"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both"/>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按规定保管财务账目、记账凭证、药品和医疗耗材出入库记录等涉及基金使用的相关资料，得分；</w:t>
            </w:r>
          </w:p>
          <w:p>
            <w:pPr>
              <w:jc w:val="both"/>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未按规定保管财务账目、记账凭证、（这个跟进销存的关系？）药品和医疗耗材出入库记录等涉及基金使用的相关资料，不得分。</w:t>
            </w:r>
          </w:p>
        </w:tc>
      </w:tr>
      <w:tr>
        <w:tblPrEx>
          <w:tblCellMar>
            <w:top w:w="0" w:type="dxa"/>
            <w:left w:w="0" w:type="dxa"/>
            <w:bottom w:w="0" w:type="dxa"/>
            <w:right w:w="0" w:type="dxa"/>
          </w:tblCellMar>
        </w:tblPrEx>
        <w:trPr>
          <w:gridAfter w:val="1"/>
          <w:wAfter w:w="7" w:type="pct"/>
          <w:trHeight w:val="3099" w:hRule="atLeast"/>
          <w:jc w:val="center"/>
        </w:trPr>
        <w:tc>
          <w:tcPr>
            <w:tcW w:w="243" w:type="pct"/>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line="23" w:lineRule="atLeas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协议管理</w:t>
            </w:r>
          </w:p>
        </w:tc>
        <w:tc>
          <w:tcPr>
            <w:tcW w:w="237"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spacing w:line="23" w:lineRule="atLeas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财务管理</w:t>
            </w:r>
          </w:p>
        </w:tc>
        <w:tc>
          <w:tcPr>
            <w:tcW w:w="284"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spacing w:line="23" w:lineRule="atLeas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票据</w:t>
            </w:r>
          </w:p>
          <w:p>
            <w:pPr>
              <w:spacing w:line="23" w:lineRule="atLeas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管理</w:t>
            </w:r>
          </w:p>
        </w:tc>
        <w:tc>
          <w:tcPr>
            <w:tcW w:w="287"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center"/>
              <w:textAlignment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10</w:t>
            </w:r>
          </w:p>
        </w:tc>
        <w:tc>
          <w:tcPr>
            <w:tcW w:w="267"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eastAsia="zh-CN"/>
              </w:rPr>
              <w:t>10</w:t>
            </w:r>
            <w:r>
              <w:rPr>
                <w:rFonts w:hint="eastAsia" w:ascii="仿宋_GB2312" w:hAnsi="仿宋_GB2312" w:eastAsia="仿宋_GB2312" w:cs="仿宋_GB2312"/>
                <w:color w:val="auto"/>
                <w:sz w:val="21"/>
                <w:szCs w:val="21"/>
              </w:rPr>
              <w:t>‰</w:t>
            </w:r>
          </w:p>
        </w:tc>
        <w:tc>
          <w:tcPr>
            <w:tcW w:w="1283"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spacing w:line="23" w:lineRule="atLeast"/>
              <w:jc w:val="both"/>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规范票据领购、使用、保管及核销等管理。</w:t>
            </w:r>
          </w:p>
        </w:tc>
        <w:tc>
          <w:tcPr>
            <w:tcW w:w="1308"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both"/>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1.《医疗保障基金使用监督管理条例》；</w:t>
            </w:r>
          </w:p>
          <w:p>
            <w:pPr>
              <w:jc w:val="both"/>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2.《青海省医疗保障定点医疗机构服务协议（2019版）》。</w:t>
            </w:r>
          </w:p>
        </w:tc>
        <w:tc>
          <w:tcPr>
            <w:tcW w:w="1079"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both"/>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按照规定制定并执行票据管理办法，得分；</w:t>
            </w:r>
          </w:p>
          <w:p>
            <w:pPr>
              <w:jc w:val="both"/>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未按照规定制定并执行票据管理办法，不得分。</w:t>
            </w:r>
          </w:p>
        </w:tc>
      </w:tr>
      <w:tr>
        <w:tblPrEx>
          <w:tblCellMar>
            <w:top w:w="0" w:type="dxa"/>
            <w:left w:w="0" w:type="dxa"/>
            <w:bottom w:w="0" w:type="dxa"/>
            <w:right w:w="0" w:type="dxa"/>
          </w:tblCellMar>
        </w:tblPrEx>
        <w:trPr>
          <w:gridAfter w:val="1"/>
          <w:wAfter w:w="7" w:type="pct"/>
          <w:trHeight w:val="23" w:hRule="atLeast"/>
          <w:jc w:val="center"/>
        </w:trPr>
        <w:tc>
          <w:tcPr>
            <w:tcW w:w="243" w:type="pct"/>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line="23" w:lineRule="atLeas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协议管理</w:t>
            </w:r>
          </w:p>
        </w:tc>
        <w:tc>
          <w:tcPr>
            <w:tcW w:w="237"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spacing w:line="23" w:lineRule="atLeas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财务管理</w:t>
            </w:r>
          </w:p>
        </w:tc>
        <w:tc>
          <w:tcPr>
            <w:tcW w:w="284"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spacing w:line="23" w:lineRule="atLeas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药品耗材管理</w:t>
            </w:r>
          </w:p>
        </w:tc>
        <w:tc>
          <w:tcPr>
            <w:tcW w:w="287"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center"/>
              <w:textAlignment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10</w:t>
            </w:r>
          </w:p>
        </w:tc>
        <w:tc>
          <w:tcPr>
            <w:tcW w:w="267"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eastAsia="zh-CN"/>
              </w:rPr>
              <w:t>10</w:t>
            </w:r>
            <w:r>
              <w:rPr>
                <w:rFonts w:hint="eastAsia" w:ascii="仿宋_GB2312" w:hAnsi="仿宋_GB2312" w:eastAsia="仿宋_GB2312" w:cs="仿宋_GB2312"/>
                <w:color w:val="auto"/>
                <w:sz w:val="21"/>
                <w:szCs w:val="21"/>
              </w:rPr>
              <w:t>‰</w:t>
            </w:r>
          </w:p>
        </w:tc>
        <w:tc>
          <w:tcPr>
            <w:tcW w:w="1283"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spacing w:line="23" w:lineRule="atLeast"/>
              <w:jc w:val="both"/>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 xml:space="preserve">如实向医保经办机构报送药品、耗材的采购价格和数量。 </w:t>
            </w:r>
          </w:p>
        </w:tc>
        <w:tc>
          <w:tcPr>
            <w:tcW w:w="1308"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both"/>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val="en-US" w:eastAsia="zh-CN"/>
              </w:rPr>
              <w:t>1.</w:t>
            </w:r>
            <w:r>
              <w:rPr>
                <w:rFonts w:hint="eastAsia" w:ascii="仿宋_GB2312" w:hAnsi="仿宋_GB2312" w:eastAsia="仿宋_GB2312" w:cs="仿宋_GB2312"/>
                <w:color w:val="auto"/>
                <w:sz w:val="21"/>
                <w:szCs w:val="21"/>
                <w:lang w:eastAsia="zh-CN"/>
              </w:rPr>
              <w:t>《医疗机构医疗保障定点管理暂行办法》；</w:t>
            </w:r>
          </w:p>
          <w:p>
            <w:pPr>
              <w:jc w:val="both"/>
              <w:rPr>
                <w:rFonts w:hint="default"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2.</w:t>
            </w:r>
            <w:r>
              <w:rPr>
                <w:rFonts w:hint="eastAsia" w:ascii="仿宋_GB2312" w:hAnsi="仿宋_GB2312" w:eastAsia="仿宋_GB2312" w:cs="仿宋_GB2312"/>
                <w:color w:val="auto"/>
                <w:sz w:val="21"/>
                <w:szCs w:val="21"/>
                <w:lang w:eastAsia="zh-CN"/>
              </w:rPr>
              <w:t>《青海省医疗保障定点医疗机构服务协议（2019版）》。</w:t>
            </w:r>
          </w:p>
        </w:tc>
        <w:tc>
          <w:tcPr>
            <w:tcW w:w="1079"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both"/>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按照规定</w:t>
            </w:r>
            <w:r>
              <w:rPr>
                <w:rFonts w:hint="eastAsia" w:ascii="仿宋_GB2312" w:hAnsi="仿宋_GB2312" w:eastAsia="仿宋_GB2312" w:cs="仿宋_GB2312"/>
                <w:color w:val="auto"/>
                <w:sz w:val="21"/>
                <w:szCs w:val="21"/>
                <w:lang w:val="en-US" w:eastAsia="zh-CN"/>
              </w:rPr>
              <w:t>执行的</w:t>
            </w:r>
            <w:r>
              <w:rPr>
                <w:rFonts w:hint="eastAsia" w:ascii="仿宋_GB2312" w:hAnsi="仿宋_GB2312" w:eastAsia="仿宋_GB2312" w:cs="仿宋_GB2312"/>
                <w:color w:val="auto"/>
                <w:sz w:val="21"/>
                <w:szCs w:val="21"/>
                <w:lang w:eastAsia="zh-CN"/>
              </w:rPr>
              <w:t>，得分；</w:t>
            </w:r>
          </w:p>
          <w:p>
            <w:pPr>
              <w:jc w:val="both"/>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未按照规定</w:t>
            </w:r>
            <w:r>
              <w:rPr>
                <w:rFonts w:hint="eastAsia" w:ascii="仿宋_GB2312" w:hAnsi="仿宋_GB2312" w:eastAsia="仿宋_GB2312" w:cs="仿宋_GB2312"/>
                <w:color w:val="auto"/>
                <w:sz w:val="21"/>
                <w:szCs w:val="21"/>
                <w:lang w:val="en-US" w:eastAsia="zh-CN"/>
              </w:rPr>
              <w:t>执行的</w:t>
            </w:r>
            <w:r>
              <w:rPr>
                <w:rFonts w:hint="eastAsia" w:ascii="仿宋_GB2312" w:hAnsi="仿宋_GB2312" w:eastAsia="仿宋_GB2312" w:cs="仿宋_GB2312"/>
                <w:color w:val="auto"/>
                <w:sz w:val="21"/>
                <w:szCs w:val="21"/>
                <w:lang w:eastAsia="zh-CN"/>
              </w:rPr>
              <w:t>，不得分。</w:t>
            </w:r>
          </w:p>
        </w:tc>
      </w:tr>
      <w:tr>
        <w:tblPrEx>
          <w:tblCellMar>
            <w:top w:w="0" w:type="dxa"/>
            <w:left w:w="0" w:type="dxa"/>
            <w:bottom w:w="0" w:type="dxa"/>
            <w:right w:w="0" w:type="dxa"/>
          </w:tblCellMar>
        </w:tblPrEx>
        <w:trPr>
          <w:gridAfter w:val="1"/>
          <w:wAfter w:w="7" w:type="pct"/>
          <w:trHeight w:val="2174" w:hRule="atLeast"/>
          <w:jc w:val="center"/>
        </w:trPr>
        <w:tc>
          <w:tcPr>
            <w:tcW w:w="243" w:type="pct"/>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line="23" w:lineRule="atLeas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医保监管</w:t>
            </w:r>
          </w:p>
        </w:tc>
        <w:tc>
          <w:tcPr>
            <w:tcW w:w="237"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spacing w:line="23" w:lineRule="atLeas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基金管理</w:t>
            </w:r>
          </w:p>
        </w:tc>
        <w:tc>
          <w:tcPr>
            <w:tcW w:w="284"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spacing w:line="23" w:lineRule="atLeas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支付</w:t>
            </w:r>
          </w:p>
          <w:p>
            <w:pPr>
              <w:spacing w:line="23" w:lineRule="atLeas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范围</w:t>
            </w:r>
          </w:p>
        </w:tc>
        <w:tc>
          <w:tcPr>
            <w:tcW w:w="287"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center"/>
              <w:textAlignment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10</w:t>
            </w:r>
          </w:p>
        </w:tc>
        <w:tc>
          <w:tcPr>
            <w:tcW w:w="267"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eastAsia="zh-CN"/>
              </w:rPr>
              <w:t>10</w:t>
            </w:r>
            <w:r>
              <w:rPr>
                <w:rFonts w:hint="eastAsia" w:ascii="仿宋_GB2312" w:hAnsi="仿宋_GB2312" w:eastAsia="仿宋_GB2312" w:cs="仿宋_GB2312"/>
                <w:color w:val="auto"/>
                <w:sz w:val="21"/>
                <w:szCs w:val="21"/>
              </w:rPr>
              <w:t>‰</w:t>
            </w:r>
          </w:p>
        </w:tc>
        <w:tc>
          <w:tcPr>
            <w:tcW w:w="1283"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both"/>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定点医疗机构应当确保医疗保障基金支付的费用符合规定的支付范围。</w:t>
            </w:r>
          </w:p>
        </w:tc>
        <w:tc>
          <w:tcPr>
            <w:tcW w:w="1308"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both"/>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val="en-US" w:eastAsia="zh-CN"/>
              </w:rPr>
              <w:t>1.</w:t>
            </w:r>
            <w:r>
              <w:rPr>
                <w:rFonts w:hint="eastAsia" w:ascii="仿宋_GB2312" w:hAnsi="仿宋_GB2312" w:eastAsia="仿宋_GB2312" w:cs="仿宋_GB2312"/>
                <w:color w:val="auto"/>
                <w:sz w:val="21"/>
                <w:szCs w:val="21"/>
                <w:lang w:eastAsia="zh-CN"/>
              </w:rPr>
              <w:t xml:space="preserve">《医疗保障基金使用监督管理条例》； </w:t>
            </w:r>
          </w:p>
          <w:p>
            <w:pPr>
              <w:jc w:val="both"/>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val="en-US" w:eastAsia="zh-CN"/>
              </w:rPr>
              <w:t>2.</w:t>
            </w:r>
            <w:r>
              <w:rPr>
                <w:rFonts w:hint="eastAsia" w:ascii="仿宋_GB2312" w:hAnsi="仿宋_GB2312" w:eastAsia="仿宋_GB2312" w:cs="仿宋_GB2312"/>
                <w:color w:val="auto"/>
                <w:sz w:val="21"/>
                <w:szCs w:val="21"/>
                <w:lang w:eastAsia="zh-CN"/>
              </w:rPr>
              <w:t>《医疗机构医疗保障定点管理暂行办法》；</w:t>
            </w:r>
          </w:p>
          <w:p>
            <w:pPr>
              <w:jc w:val="both"/>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val="en-US" w:eastAsia="zh-CN"/>
              </w:rPr>
              <w:t>3.</w:t>
            </w:r>
            <w:r>
              <w:rPr>
                <w:rFonts w:hint="eastAsia" w:ascii="仿宋_GB2312" w:hAnsi="仿宋_GB2312" w:eastAsia="仿宋_GB2312" w:cs="仿宋_GB2312"/>
                <w:color w:val="auto"/>
                <w:sz w:val="21"/>
                <w:szCs w:val="21"/>
                <w:lang w:eastAsia="zh-CN"/>
              </w:rPr>
              <w:t>《青海省医疗保障定点医疗机构服务协议（2019版）》。</w:t>
            </w:r>
          </w:p>
        </w:tc>
        <w:tc>
          <w:tcPr>
            <w:tcW w:w="1079"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both"/>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按照规定</w:t>
            </w:r>
            <w:r>
              <w:rPr>
                <w:rFonts w:hint="eastAsia" w:ascii="仿宋_GB2312" w:hAnsi="仿宋_GB2312" w:eastAsia="仿宋_GB2312" w:cs="仿宋_GB2312"/>
                <w:color w:val="auto"/>
                <w:sz w:val="21"/>
                <w:szCs w:val="21"/>
                <w:lang w:val="en-US" w:eastAsia="zh-CN"/>
              </w:rPr>
              <w:t>执行的</w:t>
            </w:r>
            <w:r>
              <w:rPr>
                <w:rFonts w:hint="eastAsia" w:ascii="仿宋_GB2312" w:hAnsi="仿宋_GB2312" w:eastAsia="仿宋_GB2312" w:cs="仿宋_GB2312"/>
                <w:color w:val="auto"/>
                <w:sz w:val="21"/>
                <w:szCs w:val="21"/>
                <w:lang w:eastAsia="zh-CN"/>
              </w:rPr>
              <w:t>，得分；</w:t>
            </w:r>
          </w:p>
          <w:p>
            <w:pPr>
              <w:jc w:val="both"/>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未按照规定</w:t>
            </w:r>
            <w:r>
              <w:rPr>
                <w:rFonts w:hint="eastAsia" w:ascii="仿宋_GB2312" w:hAnsi="仿宋_GB2312" w:eastAsia="仿宋_GB2312" w:cs="仿宋_GB2312"/>
                <w:color w:val="auto"/>
                <w:sz w:val="21"/>
                <w:szCs w:val="21"/>
                <w:lang w:val="en-US" w:eastAsia="zh-CN"/>
              </w:rPr>
              <w:t>执行的</w:t>
            </w:r>
            <w:r>
              <w:rPr>
                <w:rFonts w:hint="eastAsia" w:ascii="仿宋_GB2312" w:hAnsi="仿宋_GB2312" w:eastAsia="仿宋_GB2312" w:cs="仿宋_GB2312"/>
                <w:color w:val="auto"/>
                <w:sz w:val="21"/>
                <w:szCs w:val="21"/>
                <w:lang w:eastAsia="zh-CN"/>
              </w:rPr>
              <w:t>，不得分。</w:t>
            </w:r>
          </w:p>
        </w:tc>
      </w:tr>
      <w:tr>
        <w:tblPrEx>
          <w:tblCellMar>
            <w:top w:w="0" w:type="dxa"/>
            <w:left w:w="0" w:type="dxa"/>
            <w:bottom w:w="0" w:type="dxa"/>
            <w:right w:w="0" w:type="dxa"/>
          </w:tblCellMar>
        </w:tblPrEx>
        <w:trPr>
          <w:gridAfter w:val="1"/>
          <w:wAfter w:w="7" w:type="pct"/>
          <w:trHeight w:val="1278" w:hRule="atLeast"/>
          <w:jc w:val="center"/>
        </w:trPr>
        <w:tc>
          <w:tcPr>
            <w:tcW w:w="243" w:type="pct"/>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line="23" w:lineRule="atLeas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医保监管</w:t>
            </w:r>
          </w:p>
        </w:tc>
        <w:tc>
          <w:tcPr>
            <w:tcW w:w="237"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spacing w:line="23" w:lineRule="atLeas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基金管理</w:t>
            </w:r>
          </w:p>
        </w:tc>
        <w:tc>
          <w:tcPr>
            <w:tcW w:w="284"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spacing w:line="23" w:lineRule="atLeas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收费</w:t>
            </w:r>
          </w:p>
          <w:p>
            <w:pPr>
              <w:spacing w:line="23" w:lineRule="atLeas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标准</w:t>
            </w:r>
          </w:p>
        </w:tc>
        <w:tc>
          <w:tcPr>
            <w:tcW w:w="287"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center"/>
              <w:textAlignment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10</w:t>
            </w:r>
          </w:p>
        </w:tc>
        <w:tc>
          <w:tcPr>
            <w:tcW w:w="267"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eastAsia="zh-CN"/>
              </w:rPr>
              <w:t>10</w:t>
            </w:r>
            <w:r>
              <w:rPr>
                <w:rFonts w:hint="eastAsia" w:ascii="仿宋_GB2312" w:hAnsi="仿宋_GB2312" w:eastAsia="仿宋_GB2312" w:cs="仿宋_GB2312"/>
                <w:color w:val="auto"/>
                <w:sz w:val="21"/>
                <w:szCs w:val="21"/>
              </w:rPr>
              <w:t>‰</w:t>
            </w:r>
          </w:p>
        </w:tc>
        <w:tc>
          <w:tcPr>
            <w:tcW w:w="1283"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both"/>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 xml:space="preserve"> 按医疗服务项目和价格收费标准及其说明等规定进行收费，并将收费标准公布在醒目位置。</w:t>
            </w:r>
          </w:p>
          <w:p>
            <w:pPr>
              <w:spacing w:line="23" w:lineRule="atLeast"/>
              <w:jc w:val="both"/>
              <w:textAlignment w:val="center"/>
              <w:rPr>
                <w:rFonts w:hint="eastAsia" w:ascii="仿宋_GB2312" w:hAnsi="仿宋_GB2312" w:eastAsia="仿宋_GB2312" w:cs="仿宋_GB2312"/>
                <w:color w:val="auto"/>
                <w:sz w:val="21"/>
                <w:szCs w:val="21"/>
              </w:rPr>
            </w:pPr>
          </w:p>
        </w:tc>
        <w:tc>
          <w:tcPr>
            <w:tcW w:w="1308"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both"/>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 xml:space="preserve"> 《青海省医疗保障定点医疗机构服务协议（2019版）》。 </w:t>
            </w:r>
          </w:p>
        </w:tc>
        <w:tc>
          <w:tcPr>
            <w:tcW w:w="1079"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both"/>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按照规定</w:t>
            </w:r>
            <w:r>
              <w:rPr>
                <w:rFonts w:hint="eastAsia" w:ascii="仿宋_GB2312" w:hAnsi="仿宋_GB2312" w:eastAsia="仿宋_GB2312" w:cs="仿宋_GB2312"/>
                <w:color w:val="auto"/>
                <w:sz w:val="21"/>
                <w:szCs w:val="21"/>
                <w:lang w:val="en-US" w:eastAsia="zh-CN"/>
              </w:rPr>
              <w:t>执行的</w:t>
            </w:r>
            <w:r>
              <w:rPr>
                <w:rFonts w:hint="eastAsia" w:ascii="仿宋_GB2312" w:hAnsi="仿宋_GB2312" w:eastAsia="仿宋_GB2312" w:cs="仿宋_GB2312"/>
                <w:color w:val="auto"/>
                <w:sz w:val="21"/>
                <w:szCs w:val="21"/>
                <w:lang w:eastAsia="zh-CN"/>
              </w:rPr>
              <w:t>，得分；未按照规定</w:t>
            </w:r>
            <w:r>
              <w:rPr>
                <w:rFonts w:hint="eastAsia" w:ascii="仿宋_GB2312" w:hAnsi="仿宋_GB2312" w:eastAsia="仿宋_GB2312" w:cs="仿宋_GB2312"/>
                <w:color w:val="auto"/>
                <w:sz w:val="21"/>
                <w:szCs w:val="21"/>
                <w:lang w:val="en-US" w:eastAsia="zh-CN"/>
              </w:rPr>
              <w:t>执行的</w:t>
            </w:r>
            <w:r>
              <w:rPr>
                <w:rFonts w:hint="eastAsia" w:ascii="仿宋_GB2312" w:hAnsi="仿宋_GB2312" w:eastAsia="仿宋_GB2312" w:cs="仿宋_GB2312"/>
                <w:color w:val="auto"/>
                <w:sz w:val="21"/>
                <w:szCs w:val="21"/>
                <w:lang w:eastAsia="zh-CN"/>
              </w:rPr>
              <w:t>，不得分。</w:t>
            </w:r>
          </w:p>
        </w:tc>
      </w:tr>
      <w:tr>
        <w:tblPrEx>
          <w:tblCellMar>
            <w:top w:w="0" w:type="dxa"/>
            <w:left w:w="0" w:type="dxa"/>
            <w:bottom w:w="0" w:type="dxa"/>
            <w:right w:w="0" w:type="dxa"/>
          </w:tblCellMar>
        </w:tblPrEx>
        <w:trPr>
          <w:gridAfter w:val="1"/>
          <w:wAfter w:w="7" w:type="pct"/>
          <w:trHeight w:val="3459" w:hRule="atLeast"/>
          <w:jc w:val="center"/>
        </w:trPr>
        <w:tc>
          <w:tcPr>
            <w:tcW w:w="243" w:type="pct"/>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line="23" w:lineRule="atLeas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医保监管</w:t>
            </w:r>
          </w:p>
        </w:tc>
        <w:tc>
          <w:tcPr>
            <w:tcW w:w="237"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spacing w:line="23" w:lineRule="atLeas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基金管理</w:t>
            </w:r>
          </w:p>
        </w:tc>
        <w:tc>
          <w:tcPr>
            <w:tcW w:w="284"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spacing w:line="23" w:lineRule="atLeas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费用</w:t>
            </w:r>
          </w:p>
          <w:p>
            <w:pPr>
              <w:spacing w:line="23" w:lineRule="atLeas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结算</w:t>
            </w:r>
          </w:p>
        </w:tc>
        <w:tc>
          <w:tcPr>
            <w:tcW w:w="287"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center"/>
              <w:textAlignment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10</w:t>
            </w:r>
          </w:p>
        </w:tc>
        <w:tc>
          <w:tcPr>
            <w:tcW w:w="267"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eastAsia="zh-CN"/>
              </w:rPr>
              <w:t>10</w:t>
            </w:r>
            <w:r>
              <w:rPr>
                <w:rFonts w:hint="eastAsia" w:ascii="仿宋_GB2312" w:hAnsi="仿宋_GB2312" w:eastAsia="仿宋_GB2312" w:cs="仿宋_GB2312"/>
                <w:color w:val="auto"/>
                <w:sz w:val="21"/>
                <w:szCs w:val="21"/>
              </w:rPr>
              <w:t>‰</w:t>
            </w:r>
          </w:p>
        </w:tc>
        <w:tc>
          <w:tcPr>
            <w:tcW w:w="1283"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both"/>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进行医保费用直接结算，提供收费票据、费用明细和相关资料。不得将医保基金支付的项目让参保人员负担。</w:t>
            </w:r>
          </w:p>
          <w:p>
            <w:pPr>
              <w:spacing w:line="23" w:lineRule="atLeast"/>
              <w:jc w:val="both"/>
              <w:textAlignment w:val="center"/>
              <w:rPr>
                <w:rFonts w:hint="eastAsia" w:ascii="仿宋_GB2312" w:hAnsi="仿宋_GB2312" w:eastAsia="仿宋_GB2312" w:cs="仿宋_GB2312"/>
                <w:color w:val="auto"/>
                <w:sz w:val="21"/>
                <w:szCs w:val="21"/>
              </w:rPr>
            </w:pPr>
          </w:p>
        </w:tc>
        <w:tc>
          <w:tcPr>
            <w:tcW w:w="1308"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both"/>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1.《医疗保障基金使用监督管理条例》；2.《医疗机构医疗保障定点管理暂行办法》；3.《青海省医疗保障定点医疗机构服务协议（2019版）》。</w:t>
            </w:r>
          </w:p>
        </w:tc>
        <w:tc>
          <w:tcPr>
            <w:tcW w:w="1079"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both"/>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按照规定</w:t>
            </w:r>
            <w:r>
              <w:rPr>
                <w:rFonts w:hint="eastAsia" w:ascii="仿宋_GB2312" w:hAnsi="仿宋_GB2312" w:eastAsia="仿宋_GB2312" w:cs="仿宋_GB2312"/>
                <w:color w:val="auto"/>
                <w:sz w:val="21"/>
                <w:szCs w:val="21"/>
                <w:lang w:val="en-US" w:eastAsia="zh-CN"/>
              </w:rPr>
              <w:t>执行的</w:t>
            </w:r>
            <w:r>
              <w:rPr>
                <w:rFonts w:hint="eastAsia" w:ascii="仿宋_GB2312" w:hAnsi="仿宋_GB2312" w:eastAsia="仿宋_GB2312" w:cs="仿宋_GB2312"/>
                <w:color w:val="auto"/>
                <w:sz w:val="21"/>
                <w:szCs w:val="21"/>
                <w:lang w:eastAsia="zh-CN"/>
              </w:rPr>
              <w:t>，得分；未按照规定</w:t>
            </w:r>
            <w:r>
              <w:rPr>
                <w:rFonts w:hint="eastAsia" w:ascii="仿宋_GB2312" w:hAnsi="仿宋_GB2312" w:eastAsia="仿宋_GB2312" w:cs="仿宋_GB2312"/>
                <w:color w:val="auto"/>
                <w:sz w:val="21"/>
                <w:szCs w:val="21"/>
                <w:lang w:val="en-US" w:eastAsia="zh-CN"/>
              </w:rPr>
              <w:t>执行的</w:t>
            </w:r>
            <w:r>
              <w:rPr>
                <w:rFonts w:hint="eastAsia" w:ascii="仿宋_GB2312" w:hAnsi="仿宋_GB2312" w:eastAsia="仿宋_GB2312" w:cs="仿宋_GB2312"/>
                <w:color w:val="auto"/>
                <w:sz w:val="21"/>
                <w:szCs w:val="21"/>
                <w:lang w:eastAsia="zh-CN"/>
              </w:rPr>
              <w:t>，不得分。</w:t>
            </w:r>
          </w:p>
        </w:tc>
      </w:tr>
      <w:tr>
        <w:tblPrEx>
          <w:tblCellMar>
            <w:top w:w="0" w:type="dxa"/>
            <w:left w:w="0" w:type="dxa"/>
            <w:bottom w:w="0" w:type="dxa"/>
            <w:right w:w="0" w:type="dxa"/>
          </w:tblCellMar>
        </w:tblPrEx>
        <w:trPr>
          <w:gridAfter w:val="1"/>
          <w:wAfter w:w="7" w:type="pct"/>
          <w:trHeight w:val="1046" w:hRule="atLeast"/>
          <w:jc w:val="center"/>
        </w:trPr>
        <w:tc>
          <w:tcPr>
            <w:tcW w:w="243" w:type="pct"/>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line="23" w:lineRule="atLeas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医保监管</w:t>
            </w:r>
          </w:p>
        </w:tc>
        <w:tc>
          <w:tcPr>
            <w:tcW w:w="237"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spacing w:line="23" w:lineRule="atLeas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基金管理</w:t>
            </w:r>
          </w:p>
        </w:tc>
        <w:tc>
          <w:tcPr>
            <w:tcW w:w="284"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spacing w:line="23" w:lineRule="atLeas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支付</w:t>
            </w:r>
          </w:p>
          <w:p>
            <w:pPr>
              <w:spacing w:line="23" w:lineRule="atLeas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方式</w:t>
            </w:r>
          </w:p>
        </w:tc>
        <w:tc>
          <w:tcPr>
            <w:tcW w:w="287"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center"/>
              <w:textAlignment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10</w:t>
            </w:r>
          </w:p>
        </w:tc>
        <w:tc>
          <w:tcPr>
            <w:tcW w:w="267"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eastAsia="zh-CN"/>
              </w:rPr>
              <w:t>10</w:t>
            </w:r>
            <w:r>
              <w:rPr>
                <w:rFonts w:hint="eastAsia" w:ascii="仿宋_GB2312" w:hAnsi="仿宋_GB2312" w:eastAsia="仿宋_GB2312" w:cs="仿宋_GB2312"/>
                <w:color w:val="auto"/>
                <w:sz w:val="21"/>
                <w:szCs w:val="21"/>
              </w:rPr>
              <w:t>‰</w:t>
            </w:r>
          </w:p>
        </w:tc>
        <w:tc>
          <w:tcPr>
            <w:tcW w:w="1283"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both"/>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 xml:space="preserve"> </w:t>
            </w:r>
            <w:r>
              <w:rPr>
                <w:rFonts w:hint="eastAsia" w:ascii="仿宋_GB2312" w:hAnsi="仿宋_GB2312" w:eastAsia="仿宋_GB2312" w:cs="仿宋_GB2312"/>
                <w:color w:val="auto"/>
                <w:sz w:val="21"/>
                <w:szCs w:val="21"/>
                <w:lang w:val="en-US" w:eastAsia="zh-CN"/>
              </w:rPr>
              <w:t>按要求开展DRG/DIP支付方式改革</w:t>
            </w:r>
          </w:p>
          <w:p>
            <w:pPr>
              <w:spacing w:line="23" w:lineRule="atLeast"/>
              <w:jc w:val="both"/>
              <w:textAlignment w:val="center"/>
              <w:rPr>
                <w:rFonts w:hint="eastAsia" w:ascii="仿宋_GB2312" w:hAnsi="仿宋_GB2312" w:eastAsia="仿宋_GB2312" w:cs="仿宋_GB2312"/>
                <w:color w:val="auto"/>
                <w:sz w:val="21"/>
                <w:szCs w:val="21"/>
              </w:rPr>
            </w:pPr>
          </w:p>
        </w:tc>
        <w:tc>
          <w:tcPr>
            <w:tcW w:w="1308"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both"/>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 xml:space="preserve">《医疗机构医疗保障定点管理暂行办法》。 </w:t>
            </w:r>
          </w:p>
          <w:p>
            <w:pPr>
              <w:jc w:val="both"/>
              <w:rPr>
                <w:rFonts w:hint="eastAsia" w:ascii="仿宋_GB2312" w:hAnsi="仿宋_GB2312" w:eastAsia="仿宋_GB2312" w:cs="仿宋_GB2312"/>
                <w:color w:val="auto"/>
                <w:sz w:val="21"/>
                <w:szCs w:val="21"/>
                <w:lang w:eastAsia="zh-CN"/>
              </w:rPr>
            </w:pPr>
          </w:p>
        </w:tc>
        <w:tc>
          <w:tcPr>
            <w:tcW w:w="1079"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both"/>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按照规定</w:t>
            </w:r>
            <w:r>
              <w:rPr>
                <w:rFonts w:hint="eastAsia" w:ascii="仿宋_GB2312" w:hAnsi="仿宋_GB2312" w:eastAsia="仿宋_GB2312" w:cs="仿宋_GB2312"/>
                <w:color w:val="auto"/>
                <w:sz w:val="21"/>
                <w:szCs w:val="21"/>
                <w:lang w:val="en-US" w:eastAsia="zh-CN"/>
              </w:rPr>
              <w:t>执行的</w:t>
            </w:r>
            <w:r>
              <w:rPr>
                <w:rFonts w:hint="eastAsia" w:ascii="仿宋_GB2312" w:hAnsi="仿宋_GB2312" w:eastAsia="仿宋_GB2312" w:cs="仿宋_GB2312"/>
                <w:color w:val="auto"/>
                <w:sz w:val="21"/>
                <w:szCs w:val="21"/>
                <w:lang w:eastAsia="zh-CN"/>
              </w:rPr>
              <w:t>，得分；未按照规定</w:t>
            </w:r>
            <w:r>
              <w:rPr>
                <w:rFonts w:hint="eastAsia" w:ascii="仿宋_GB2312" w:hAnsi="仿宋_GB2312" w:eastAsia="仿宋_GB2312" w:cs="仿宋_GB2312"/>
                <w:color w:val="auto"/>
                <w:sz w:val="21"/>
                <w:szCs w:val="21"/>
                <w:lang w:val="en-US" w:eastAsia="zh-CN"/>
              </w:rPr>
              <w:t>执行的</w:t>
            </w:r>
            <w:r>
              <w:rPr>
                <w:rFonts w:hint="eastAsia" w:ascii="仿宋_GB2312" w:hAnsi="仿宋_GB2312" w:eastAsia="仿宋_GB2312" w:cs="仿宋_GB2312"/>
                <w:color w:val="auto"/>
                <w:sz w:val="21"/>
                <w:szCs w:val="21"/>
                <w:lang w:eastAsia="zh-CN"/>
              </w:rPr>
              <w:t>，不得分。</w:t>
            </w:r>
          </w:p>
        </w:tc>
      </w:tr>
      <w:tr>
        <w:tblPrEx>
          <w:tblCellMar>
            <w:top w:w="0" w:type="dxa"/>
            <w:left w:w="0" w:type="dxa"/>
            <w:bottom w:w="0" w:type="dxa"/>
            <w:right w:w="0" w:type="dxa"/>
          </w:tblCellMar>
        </w:tblPrEx>
        <w:trPr>
          <w:gridAfter w:val="1"/>
          <w:wAfter w:w="7" w:type="pct"/>
          <w:trHeight w:val="1871" w:hRule="atLeast"/>
          <w:jc w:val="center"/>
        </w:trPr>
        <w:tc>
          <w:tcPr>
            <w:tcW w:w="243" w:type="pct"/>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line="23" w:lineRule="atLeas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医保监管</w:t>
            </w:r>
          </w:p>
        </w:tc>
        <w:tc>
          <w:tcPr>
            <w:tcW w:w="237"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spacing w:line="23" w:lineRule="atLeas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基金管理</w:t>
            </w:r>
          </w:p>
        </w:tc>
        <w:tc>
          <w:tcPr>
            <w:tcW w:w="284"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spacing w:line="23" w:lineRule="atLeas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风险</w:t>
            </w:r>
          </w:p>
          <w:p>
            <w:pPr>
              <w:spacing w:line="23" w:lineRule="atLeas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防控</w:t>
            </w:r>
          </w:p>
        </w:tc>
        <w:tc>
          <w:tcPr>
            <w:tcW w:w="287"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center"/>
              <w:textAlignment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10</w:t>
            </w:r>
          </w:p>
        </w:tc>
        <w:tc>
          <w:tcPr>
            <w:tcW w:w="267"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eastAsia="zh-CN"/>
              </w:rPr>
              <w:t>10</w:t>
            </w:r>
            <w:r>
              <w:rPr>
                <w:rFonts w:hint="eastAsia" w:ascii="仿宋_GB2312" w:hAnsi="仿宋_GB2312" w:eastAsia="仿宋_GB2312" w:cs="仿宋_GB2312"/>
                <w:color w:val="auto"/>
                <w:sz w:val="21"/>
                <w:szCs w:val="21"/>
              </w:rPr>
              <w:t>‰</w:t>
            </w:r>
          </w:p>
        </w:tc>
        <w:tc>
          <w:tcPr>
            <w:tcW w:w="1283"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both"/>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定期分析排查院内贯彻医保政策、执行收费规定、有效控制费用和防范欺诈骗保的风险点，积极采取医保风险防控措施。</w:t>
            </w:r>
          </w:p>
          <w:p>
            <w:pPr>
              <w:spacing w:line="23" w:lineRule="atLeast"/>
              <w:jc w:val="both"/>
              <w:textAlignment w:val="center"/>
              <w:rPr>
                <w:rFonts w:hint="eastAsia" w:ascii="仿宋_GB2312" w:hAnsi="仿宋_GB2312" w:eastAsia="仿宋_GB2312" w:cs="仿宋_GB2312"/>
                <w:color w:val="auto"/>
                <w:sz w:val="21"/>
                <w:szCs w:val="21"/>
              </w:rPr>
            </w:pPr>
          </w:p>
        </w:tc>
        <w:tc>
          <w:tcPr>
            <w:tcW w:w="1308"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both"/>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 xml:space="preserve"> 1.《医疗保障基金使用监督管理条例》；</w:t>
            </w:r>
          </w:p>
          <w:p>
            <w:pPr>
              <w:jc w:val="both"/>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2.《医疗机构医疗保障定点管理暂行办法》。</w:t>
            </w:r>
          </w:p>
        </w:tc>
        <w:tc>
          <w:tcPr>
            <w:tcW w:w="1079"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both"/>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制定医保风险防控制度，定期开展排查并有记录，得分；未按照规定制定医保风险防控制度，未定期开展排查，不得分。</w:t>
            </w:r>
          </w:p>
        </w:tc>
      </w:tr>
      <w:tr>
        <w:tblPrEx>
          <w:tblCellMar>
            <w:top w:w="0" w:type="dxa"/>
            <w:left w:w="0" w:type="dxa"/>
            <w:bottom w:w="0" w:type="dxa"/>
            <w:right w:w="0" w:type="dxa"/>
          </w:tblCellMar>
        </w:tblPrEx>
        <w:trPr>
          <w:gridAfter w:val="1"/>
          <w:wAfter w:w="7" w:type="pct"/>
          <w:trHeight w:val="1081" w:hRule="atLeast"/>
          <w:jc w:val="center"/>
        </w:trPr>
        <w:tc>
          <w:tcPr>
            <w:tcW w:w="243" w:type="pct"/>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医保监管</w:t>
            </w:r>
          </w:p>
        </w:tc>
        <w:tc>
          <w:tcPr>
            <w:tcW w:w="237"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一般处理</w:t>
            </w:r>
          </w:p>
        </w:tc>
        <w:tc>
          <w:tcPr>
            <w:tcW w:w="284"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约谈</w:t>
            </w:r>
          </w:p>
        </w:tc>
        <w:tc>
          <w:tcPr>
            <w:tcW w:w="287"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rPr>
              <w:t>2</w:t>
            </w:r>
            <w:r>
              <w:rPr>
                <w:rFonts w:hint="eastAsia" w:ascii="仿宋_GB2312" w:hAnsi="仿宋_GB2312" w:eastAsia="仿宋_GB2312" w:cs="仿宋_GB2312"/>
                <w:color w:val="auto"/>
                <w:sz w:val="21"/>
                <w:szCs w:val="21"/>
              </w:rPr>
              <w:t>0</w:t>
            </w:r>
          </w:p>
        </w:tc>
        <w:tc>
          <w:tcPr>
            <w:tcW w:w="267"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rPr>
              <w:t>2</w:t>
            </w:r>
            <w:r>
              <w:rPr>
                <w:rFonts w:hint="eastAsia" w:ascii="仿宋_GB2312" w:hAnsi="仿宋_GB2312" w:eastAsia="仿宋_GB2312" w:cs="仿宋_GB2312"/>
                <w:color w:val="auto"/>
                <w:sz w:val="21"/>
                <w:szCs w:val="21"/>
              </w:rPr>
              <w:t>0‰</w:t>
            </w:r>
          </w:p>
        </w:tc>
        <w:tc>
          <w:tcPr>
            <w:tcW w:w="1283"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both"/>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对定点医疗机构医保违规行为的处理方式。</w:t>
            </w:r>
          </w:p>
        </w:tc>
        <w:tc>
          <w:tcPr>
            <w:tcW w:w="1308"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both"/>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1.《医疗保障基金使用监督管理条例》；</w:t>
            </w:r>
          </w:p>
          <w:p>
            <w:pPr>
              <w:jc w:val="both"/>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2.《医疗机构医疗保障定点管理暂行办法》。</w:t>
            </w:r>
          </w:p>
        </w:tc>
        <w:tc>
          <w:tcPr>
            <w:tcW w:w="1079"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both"/>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期内被医保部门约谈1次扣</w:t>
            </w:r>
            <w:r>
              <w:rPr>
                <w:rFonts w:hint="eastAsia" w:ascii="仿宋_GB2312" w:hAnsi="仿宋_GB2312" w:eastAsia="仿宋_GB2312" w:cs="仿宋_GB2312"/>
                <w:color w:val="auto"/>
                <w:sz w:val="21"/>
                <w:szCs w:val="21"/>
                <w:lang w:val="en-US" w:eastAsia="zh-CN"/>
              </w:rPr>
              <w:t>10</w:t>
            </w:r>
            <w:r>
              <w:rPr>
                <w:rFonts w:hint="eastAsia" w:ascii="仿宋_GB2312" w:hAnsi="仿宋_GB2312" w:eastAsia="仿宋_GB2312" w:cs="仿宋_GB2312"/>
                <w:color w:val="auto"/>
                <w:sz w:val="21"/>
                <w:szCs w:val="21"/>
                <w:lang w:eastAsia="zh-CN"/>
              </w:rPr>
              <w:t>分；</w:t>
            </w:r>
            <w:r>
              <w:rPr>
                <w:rFonts w:hint="eastAsia" w:ascii="仿宋_GB2312" w:hAnsi="仿宋_GB2312" w:eastAsia="仿宋_GB2312" w:cs="仿宋_GB2312"/>
                <w:color w:val="auto"/>
                <w:sz w:val="21"/>
                <w:szCs w:val="21"/>
                <w:lang w:val="en-US" w:eastAsia="zh-CN"/>
              </w:rPr>
              <w:t>2</w:t>
            </w:r>
            <w:r>
              <w:rPr>
                <w:rFonts w:hint="eastAsia" w:ascii="仿宋_GB2312" w:hAnsi="仿宋_GB2312" w:eastAsia="仿宋_GB2312" w:cs="仿宋_GB2312"/>
                <w:color w:val="auto"/>
                <w:sz w:val="21"/>
                <w:szCs w:val="21"/>
                <w:lang w:eastAsia="zh-CN"/>
              </w:rPr>
              <w:t>次及以上不得分。</w:t>
            </w:r>
          </w:p>
        </w:tc>
      </w:tr>
      <w:tr>
        <w:tblPrEx>
          <w:tblCellMar>
            <w:top w:w="0" w:type="dxa"/>
            <w:left w:w="0" w:type="dxa"/>
            <w:bottom w:w="0" w:type="dxa"/>
            <w:right w:w="0" w:type="dxa"/>
          </w:tblCellMar>
        </w:tblPrEx>
        <w:trPr>
          <w:gridAfter w:val="1"/>
          <w:wAfter w:w="7" w:type="pct"/>
          <w:trHeight w:val="1348" w:hRule="atLeast"/>
          <w:jc w:val="center"/>
        </w:trPr>
        <w:tc>
          <w:tcPr>
            <w:tcW w:w="243" w:type="pct"/>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医保监管</w:t>
            </w:r>
          </w:p>
        </w:tc>
        <w:tc>
          <w:tcPr>
            <w:tcW w:w="237"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一般处理</w:t>
            </w:r>
          </w:p>
        </w:tc>
        <w:tc>
          <w:tcPr>
            <w:tcW w:w="284"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通报</w:t>
            </w:r>
          </w:p>
        </w:tc>
        <w:tc>
          <w:tcPr>
            <w:tcW w:w="287"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rPr>
              <w:t>2</w:t>
            </w:r>
            <w:r>
              <w:rPr>
                <w:rFonts w:hint="eastAsia" w:ascii="仿宋_GB2312" w:hAnsi="仿宋_GB2312" w:eastAsia="仿宋_GB2312" w:cs="仿宋_GB2312"/>
                <w:color w:val="auto"/>
                <w:sz w:val="21"/>
                <w:szCs w:val="21"/>
              </w:rPr>
              <w:t>0</w:t>
            </w:r>
          </w:p>
        </w:tc>
        <w:tc>
          <w:tcPr>
            <w:tcW w:w="267"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rPr>
              <w:t>2</w:t>
            </w:r>
            <w:r>
              <w:rPr>
                <w:rFonts w:hint="eastAsia" w:ascii="仿宋_GB2312" w:hAnsi="仿宋_GB2312" w:eastAsia="仿宋_GB2312" w:cs="仿宋_GB2312"/>
                <w:color w:val="auto"/>
                <w:sz w:val="21"/>
                <w:szCs w:val="21"/>
              </w:rPr>
              <w:t>0‰</w:t>
            </w:r>
          </w:p>
        </w:tc>
        <w:tc>
          <w:tcPr>
            <w:tcW w:w="1283"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both"/>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对定点医疗机构医保违规行为的处理方式。</w:t>
            </w:r>
          </w:p>
        </w:tc>
        <w:tc>
          <w:tcPr>
            <w:tcW w:w="1308"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both"/>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1.《医疗保障基金使用监督管理条例》；2.《医疗机构医疗保障定点管理暂行办法》。</w:t>
            </w:r>
          </w:p>
        </w:tc>
        <w:tc>
          <w:tcPr>
            <w:tcW w:w="1079"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both"/>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期内被医保部门通报1次扣10分；2次及以上不得分。</w:t>
            </w:r>
          </w:p>
        </w:tc>
      </w:tr>
      <w:tr>
        <w:tblPrEx>
          <w:tblCellMar>
            <w:top w:w="0" w:type="dxa"/>
            <w:left w:w="0" w:type="dxa"/>
            <w:bottom w:w="0" w:type="dxa"/>
            <w:right w:w="0" w:type="dxa"/>
          </w:tblCellMar>
        </w:tblPrEx>
        <w:trPr>
          <w:gridAfter w:val="1"/>
          <w:wAfter w:w="7" w:type="pct"/>
          <w:trHeight w:val="1051" w:hRule="atLeast"/>
          <w:jc w:val="center"/>
        </w:trPr>
        <w:tc>
          <w:tcPr>
            <w:tcW w:w="243" w:type="pct"/>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医保监管</w:t>
            </w:r>
          </w:p>
        </w:tc>
        <w:tc>
          <w:tcPr>
            <w:tcW w:w="237"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一般处理</w:t>
            </w:r>
          </w:p>
        </w:tc>
        <w:tc>
          <w:tcPr>
            <w:tcW w:w="284"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整改</w:t>
            </w:r>
          </w:p>
        </w:tc>
        <w:tc>
          <w:tcPr>
            <w:tcW w:w="287"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rPr>
              <w:t>2</w:t>
            </w:r>
            <w:r>
              <w:rPr>
                <w:rFonts w:hint="eastAsia" w:ascii="仿宋_GB2312" w:hAnsi="仿宋_GB2312" w:eastAsia="仿宋_GB2312" w:cs="仿宋_GB2312"/>
                <w:color w:val="auto"/>
                <w:sz w:val="21"/>
                <w:szCs w:val="21"/>
              </w:rPr>
              <w:t>0</w:t>
            </w:r>
          </w:p>
        </w:tc>
        <w:tc>
          <w:tcPr>
            <w:tcW w:w="267"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rPr>
              <w:t>2</w:t>
            </w:r>
            <w:r>
              <w:rPr>
                <w:rFonts w:hint="eastAsia" w:ascii="仿宋_GB2312" w:hAnsi="仿宋_GB2312" w:eastAsia="仿宋_GB2312" w:cs="仿宋_GB2312"/>
                <w:color w:val="auto"/>
                <w:sz w:val="21"/>
                <w:szCs w:val="21"/>
              </w:rPr>
              <w:t>0‰</w:t>
            </w:r>
          </w:p>
        </w:tc>
        <w:tc>
          <w:tcPr>
            <w:tcW w:w="1283"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both"/>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对定点医疗机构医保违规行为的处理方式。</w:t>
            </w:r>
          </w:p>
        </w:tc>
        <w:tc>
          <w:tcPr>
            <w:tcW w:w="1308"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both"/>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1.《医疗保障基金使用监督管理条例》；</w:t>
            </w:r>
          </w:p>
          <w:p>
            <w:pPr>
              <w:jc w:val="both"/>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2.《医疗机构医疗保障定点管理暂行办法》。</w:t>
            </w:r>
          </w:p>
        </w:tc>
        <w:tc>
          <w:tcPr>
            <w:tcW w:w="1079"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both"/>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每次扣10分。2次及以上不得分。</w:t>
            </w:r>
          </w:p>
        </w:tc>
      </w:tr>
      <w:tr>
        <w:tblPrEx>
          <w:tblCellMar>
            <w:top w:w="0" w:type="dxa"/>
            <w:left w:w="0" w:type="dxa"/>
            <w:bottom w:w="0" w:type="dxa"/>
            <w:right w:w="0" w:type="dxa"/>
          </w:tblCellMar>
        </w:tblPrEx>
        <w:trPr>
          <w:gridAfter w:val="1"/>
          <w:wAfter w:w="7" w:type="pct"/>
          <w:trHeight w:val="23" w:hRule="atLeast"/>
          <w:jc w:val="center"/>
        </w:trPr>
        <w:tc>
          <w:tcPr>
            <w:tcW w:w="243" w:type="pct"/>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医保监管</w:t>
            </w:r>
          </w:p>
        </w:tc>
        <w:tc>
          <w:tcPr>
            <w:tcW w:w="237"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spacing w:line="23" w:lineRule="atLeas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费用处理</w:t>
            </w:r>
          </w:p>
        </w:tc>
        <w:tc>
          <w:tcPr>
            <w:tcW w:w="284"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spacing w:line="23" w:lineRule="atLeas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追回、拒付费用占比</w:t>
            </w:r>
          </w:p>
        </w:tc>
        <w:tc>
          <w:tcPr>
            <w:tcW w:w="287"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spacing w:line="23" w:lineRule="atLeast"/>
              <w:jc w:val="center"/>
              <w:textAlignment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val="en-US" w:eastAsia="zh-CN"/>
              </w:rPr>
              <w:t>3</w:t>
            </w:r>
            <w:r>
              <w:rPr>
                <w:rFonts w:hint="eastAsia" w:ascii="仿宋_GB2312" w:hAnsi="仿宋_GB2312" w:eastAsia="仿宋_GB2312" w:cs="仿宋_GB2312"/>
                <w:color w:val="auto"/>
                <w:sz w:val="21"/>
                <w:szCs w:val="21"/>
                <w:lang w:eastAsia="zh-CN"/>
              </w:rPr>
              <w:t>0</w:t>
            </w:r>
          </w:p>
        </w:tc>
        <w:tc>
          <w:tcPr>
            <w:tcW w:w="267"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spacing w:line="23" w:lineRule="atLeas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rPr>
              <w:t>3</w:t>
            </w:r>
            <w:r>
              <w:rPr>
                <w:rFonts w:hint="eastAsia" w:ascii="仿宋_GB2312" w:hAnsi="仿宋_GB2312" w:eastAsia="仿宋_GB2312" w:cs="仿宋_GB2312"/>
                <w:color w:val="auto"/>
                <w:sz w:val="21"/>
                <w:szCs w:val="21"/>
                <w:lang w:eastAsia="zh-CN"/>
              </w:rPr>
              <w:t>0</w:t>
            </w:r>
            <w:r>
              <w:rPr>
                <w:rFonts w:hint="eastAsia" w:ascii="仿宋_GB2312" w:hAnsi="仿宋_GB2312" w:eastAsia="仿宋_GB2312" w:cs="仿宋_GB2312"/>
                <w:color w:val="auto"/>
                <w:sz w:val="21"/>
                <w:szCs w:val="21"/>
              </w:rPr>
              <w:t>‰</w:t>
            </w:r>
          </w:p>
        </w:tc>
        <w:tc>
          <w:tcPr>
            <w:tcW w:w="1283"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spacing w:line="23" w:lineRule="atLeast"/>
              <w:jc w:val="both"/>
              <w:textAlignment w:val="center"/>
              <w:rPr>
                <w:rFonts w:hint="eastAsia" w:ascii="仿宋_GB2312" w:hAnsi="仿宋_GB2312" w:eastAsia="仿宋_GB2312" w:cs="仿宋_GB2312"/>
                <w:color w:val="000000" w:themeColor="text1"/>
                <w:sz w:val="21"/>
                <w:szCs w:val="21"/>
                <w:highlight w:val="none"/>
                <w14:textFill>
                  <w14:solidFill>
                    <w14:schemeClr w14:val="tx1"/>
                  </w14:solidFill>
                </w14:textFill>
              </w:rPr>
            </w:pPr>
            <w:r>
              <w:rPr>
                <w:rFonts w:hint="eastAsia" w:ascii="仿宋_GB2312" w:hAnsi="仿宋_GB2312" w:eastAsia="仿宋_GB2312" w:cs="仿宋_GB2312"/>
                <w:color w:val="000000" w:themeColor="text1"/>
                <w:sz w:val="21"/>
                <w:szCs w:val="21"/>
                <w:highlight w:val="none"/>
                <w14:textFill>
                  <w14:solidFill>
                    <w14:schemeClr w14:val="tx1"/>
                  </w14:solidFill>
                </w14:textFill>
              </w:rPr>
              <w:t>对定点医疗机构医保违规行为的处理方式，对已支付的本金追回，对未支付的本金不再支付。</w:t>
            </w:r>
          </w:p>
        </w:tc>
        <w:tc>
          <w:tcPr>
            <w:tcW w:w="1308"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both"/>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val="en-US" w:eastAsia="zh-CN"/>
              </w:rPr>
              <w:t>1.</w:t>
            </w:r>
            <w:r>
              <w:rPr>
                <w:rFonts w:hint="eastAsia" w:ascii="仿宋_GB2312" w:hAnsi="仿宋_GB2312" w:eastAsia="仿宋_GB2312" w:cs="仿宋_GB2312"/>
                <w:color w:val="auto"/>
                <w:sz w:val="21"/>
                <w:szCs w:val="21"/>
                <w:lang w:eastAsia="zh-CN"/>
              </w:rPr>
              <w:t>《医疗保障基金使用监督管理条例》；</w:t>
            </w:r>
            <w:r>
              <w:rPr>
                <w:rFonts w:hint="eastAsia" w:ascii="仿宋_GB2312" w:hAnsi="仿宋_GB2312" w:eastAsia="仿宋_GB2312" w:cs="仿宋_GB2312"/>
                <w:color w:val="auto"/>
                <w:sz w:val="21"/>
                <w:szCs w:val="21"/>
                <w:lang w:val="en-US" w:eastAsia="zh-CN"/>
              </w:rPr>
              <w:t>2.</w:t>
            </w:r>
            <w:r>
              <w:rPr>
                <w:rFonts w:hint="eastAsia" w:ascii="仿宋_GB2312" w:hAnsi="仿宋_GB2312" w:eastAsia="仿宋_GB2312" w:cs="仿宋_GB2312"/>
                <w:color w:val="auto"/>
                <w:sz w:val="21"/>
                <w:szCs w:val="21"/>
                <w:lang w:eastAsia="zh-CN"/>
              </w:rPr>
              <w:t>《医疗机构医疗保障定点管理暂行办法》。</w:t>
            </w:r>
          </w:p>
          <w:p>
            <w:pPr>
              <w:jc w:val="both"/>
              <w:rPr>
                <w:rFonts w:hint="eastAsia" w:ascii="仿宋_GB2312" w:hAnsi="仿宋_GB2312" w:eastAsia="仿宋_GB2312" w:cs="仿宋_GB2312"/>
                <w:color w:val="auto"/>
                <w:sz w:val="21"/>
                <w:szCs w:val="21"/>
                <w:lang w:eastAsia="zh-CN"/>
              </w:rPr>
            </w:pPr>
          </w:p>
        </w:tc>
        <w:tc>
          <w:tcPr>
            <w:tcW w:w="1079"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both"/>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计算公式：追回、拒付费用/医保总额费用；</w:t>
            </w:r>
          </w:p>
          <w:p>
            <w:pPr>
              <w:jc w:val="both"/>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低优指标，指标得分按照得分系数=（最大值－实际值）/（最大值－最小值）计分。</w:t>
            </w:r>
          </w:p>
        </w:tc>
      </w:tr>
      <w:tr>
        <w:tblPrEx>
          <w:tblCellMar>
            <w:top w:w="0" w:type="dxa"/>
            <w:left w:w="0" w:type="dxa"/>
            <w:bottom w:w="0" w:type="dxa"/>
            <w:right w:w="0" w:type="dxa"/>
          </w:tblCellMar>
        </w:tblPrEx>
        <w:trPr>
          <w:gridAfter w:val="1"/>
          <w:wAfter w:w="7" w:type="pct"/>
          <w:trHeight w:val="2996" w:hRule="atLeast"/>
          <w:jc w:val="center"/>
        </w:trPr>
        <w:tc>
          <w:tcPr>
            <w:tcW w:w="243" w:type="pct"/>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医保监管</w:t>
            </w:r>
          </w:p>
        </w:tc>
        <w:tc>
          <w:tcPr>
            <w:tcW w:w="237"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费用处理</w:t>
            </w:r>
          </w:p>
        </w:tc>
        <w:tc>
          <w:tcPr>
            <w:tcW w:w="284"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自查自纠费用占比</w:t>
            </w:r>
          </w:p>
        </w:tc>
        <w:tc>
          <w:tcPr>
            <w:tcW w:w="287"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center"/>
              <w:textAlignment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val="en-US" w:eastAsia="zh-CN"/>
              </w:rPr>
              <w:t>3</w:t>
            </w:r>
            <w:r>
              <w:rPr>
                <w:rFonts w:hint="eastAsia" w:ascii="仿宋_GB2312" w:hAnsi="仿宋_GB2312" w:eastAsia="仿宋_GB2312" w:cs="仿宋_GB2312"/>
                <w:color w:val="auto"/>
                <w:sz w:val="21"/>
                <w:szCs w:val="21"/>
                <w:lang w:eastAsia="zh-CN"/>
              </w:rPr>
              <w:t>0</w:t>
            </w:r>
          </w:p>
        </w:tc>
        <w:tc>
          <w:tcPr>
            <w:tcW w:w="267"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rPr>
              <w:t>3</w:t>
            </w:r>
            <w:r>
              <w:rPr>
                <w:rFonts w:hint="eastAsia" w:ascii="仿宋_GB2312" w:hAnsi="仿宋_GB2312" w:eastAsia="仿宋_GB2312" w:cs="仿宋_GB2312"/>
                <w:color w:val="auto"/>
                <w:sz w:val="21"/>
                <w:szCs w:val="21"/>
                <w:lang w:eastAsia="zh-CN"/>
              </w:rPr>
              <w:t>0</w:t>
            </w:r>
            <w:r>
              <w:rPr>
                <w:rFonts w:hint="eastAsia" w:ascii="仿宋_GB2312" w:hAnsi="仿宋_GB2312" w:eastAsia="仿宋_GB2312" w:cs="仿宋_GB2312"/>
                <w:color w:val="auto"/>
                <w:sz w:val="21"/>
                <w:szCs w:val="21"/>
              </w:rPr>
              <w:t>‰</w:t>
            </w:r>
          </w:p>
        </w:tc>
        <w:tc>
          <w:tcPr>
            <w:tcW w:w="1283"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both"/>
              <w:textAlignment w:val="center"/>
              <w:rPr>
                <w:rFonts w:hint="eastAsia" w:ascii="仿宋_GB2312" w:hAnsi="仿宋_GB2312" w:eastAsia="仿宋_GB2312" w:cs="仿宋_GB2312"/>
                <w:color w:val="000000" w:themeColor="text1"/>
                <w:sz w:val="21"/>
                <w:szCs w:val="21"/>
                <w:highlight w:val="none"/>
                <w14:textFill>
                  <w14:solidFill>
                    <w14:schemeClr w14:val="tx1"/>
                  </w14:solidFill>
                </w14:textFill>
              </w:rPr>
            </w:pPr>
            <w:r>
              <w:rPr>
                <w:rFonts w:hint="eastAsia" w:ascii="仿宋_GB2312" w:hAnsi="仿宋_GB2312" w:eastAsia="仿宋_GB2312" w:cs="仿宋_GB2312"/>
                <w:color w:val="000000" w:themeColor="text1"/>
                <w:sz w:val="21"/>
                <w:szCs w:val="21"/>
                <w:highlight w:val="none"/>
                <w14:textFill>
                  <w14:solidFill>
                    <w14:schemeClr w14:val="tx1"/>
                  </w14:solidFill>
                </w14:textFill>
              </w:rPr>
              <w:t>对定点医疗机构医保违规行为的处理方式，对未支付的本金不再支付。</w:t>
            </w:r>
          </w:p>
        </w:tc>
        <w:tc>
          <w:tcPr>
            <w:tcW w:w="1308"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both"/>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《医疗保障基金使用监督管理条例》。</w:t>
            </w:r>
          </w:p>
        </w:tc>
        <w:tc>
          <w:tcPr>
            <w:tcW w:w="1079"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both"/>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计算公式：自查自纠费用/医保总额费用；</w:t>
            </w:r>
          </w:p>
          <w:p>
            <w:pPr>
              <w:jc w:val="both"/>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高优指标，指标得分按照得分系数=（实际值－最小值）/（最大值－最小值）计分。</w:t>
            </w:r>
          </w:p>
        </w:tc>
      </w:tr>
      <w:tr>
        <w:tblPrEx>
          <w:tblCellMar>
            <w:top w:w="0" w:type="dxa"/>
            <w:left w:w="0" w:type="dxa"/>
            <w:bottom w:w="0" w:type="dxa"/>
            <w:right w:w="0" w:type="dxa"/>
          </w:tblCellMar>
        </w:tblPrEx>
        <w:trPr>
          <w:gridAfter w:val="1"/>
          <w:wAfter w:w="7" w:type="pct"/>
          <w:trHeight w:val="2462" w:hRule="atLeast"/>
          <w:jc w:val="center"/>
        </w:trPr>
        <w:tc>
          <w:tcPr>
            <w:tcW w:w="243" w:type="pct"/>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医保监管</w:t>
            </w:r>
          </w:p>
        </w:tc>
        <w:tc>
          <w:tcPr>
            <w:tcW w:w="237"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协议处理</w:t>
            </w:r>
          </w:p>
        </w:tc>
        <w:tc>
          <w:tcPr>
            <w:tcW w:w="284"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暂停协议</w:t>
            </w:r>
          </w:p>
        </w:tc>
        <w:tc>
          <w:tcPr>
            <w:tcW w:w="287"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center"/>
              <w:textAlignment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val="en-US" w:eastAsia="zh-CN"/>
              </w:rPr>
              <w:t>3</w:t>
            </w:r>
            <w:r>
              <w:rPr>
                <w:rFonts w:hint="eastAsia" w:ascii="仿宋_GB2312" w:hAnsi="仿宋_GB2312" w:eastAsia="仿宋_GB2312" w:cs="仿宋_GB2312"/>
                <w:color w:val="auto"/>
                <w:sz w:val="21"/>
                <w:szCs w:val="21"/>
                <w:lang w:eastAsia="zh-CN"/>
              </w:rPr>
              <w:t>0</w:t>
            </w:r>
          </w:p>
        </w:tc>
        <w:tc>
          <w:tcPr>
            <w:tcW w:w="267"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rPr>
              <w:t>3</w:t>
            </w:r>
            <w:r>
              <w:rPr>
                <w:rFonts w:hint="eastAsia" w:ascii="仿宋_GB2312" w:hAnsi="仿宋_GB2312" w:eastAsia="仿宋_GB2312" w:cs="仿宋_GB2312"/>
                <w:color w:val="auto"/>
                <w:sz w:val="21"/>
                <w:szCs w:val="21"/>
                <w:lang w:eastAsia="zh-CN"/>
              </w:rPr>
              <w:t>0</w:t>
            </w:r>
            <w:r>
              <w:rPr>
                <w:rFonts w:hint="eastAsia" w:ascii="仿宋_GB2312" w:hAnsi="仿宋_GB2312" w:eastAsia="仿宋_GB2312" w:cs="仿宋_GB2312"/>
                <w:color w:val="auto"/>
                <w:sz w:val="21"/>
                <w:szCs w:val="21"/>
              </w:rPr>
              <w:t>‰</w:t>
            </w:r>
          </w:p>
        </w:tc>
        <w:tc>
          <w:tcPr>
            <w:tcW w:w="1283"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both"/>
              <w:textAlignment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对定点医疗机构医保违规行为的处理方式。</w:t>
            </w:r>
          </w:p>
        </w:tc>
        <w:tc>
          <w:tcPr>
            <w:tcW w:w="1308"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both"/>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1.《医疗保障基金使用监督管理条例》；</w:t>
            </w:r>
          </w:p>
          <w:p>
            <w:pPr>
              <w:jc w:val="both"/>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2.《医疗机构医疗保障定点管理暂行办法》。</w:t>
            </w:r>
          </w:p>
          <w:p>
            <w:pPr>
              <w:jc w:val="both"/>
              <w:rPr>
                <w:rFonts w:hint="eastAsia" w:ascii="仿宋_GB2312" w:hAnsi="仿宋_GB2312" w:eastAsia="仿宋_GB2312" w:cs="仿宋_GB2312"/>
                <w:color w:val="auto"/>
                <w:sz w:val="21"/>
                <w:szCs w:val="21"/>
                <w:lang w:eastAsia="zh-CN"/>
              </w:rPr>
            </w:pPr>
          </w:p>
        </w:tc>
        <w:tc>
          <w:tcPr>
            <w:tcW w:w="1079"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both"/>
              <w:rPr>
                <w:rFonts w:hint="default"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暂停医保服务协议月数累计≤3个月扣</w:t>
            </w:r>
            <w:r>
              <w:rPr>
                <w:rFonts w:hint="eastAsia" w:ascii="仿宋_GB2312" w:hAnsi="仿宋_GB2312" w:eastAsia="仿宋_GB2312" w:cs="仿宋_GB2312"/>
                <w:color w:val="auto"/>
                <w:sz w:val="21"/>
                <w:szCs w:val="21"/>
                <w:lang w:val="en-US" w:eastAsia="zh-CN"/>
              </w:rPr>
              <w:t>10</w:t>
            </w:r>
            <w:r>
              <w:rPr>
                <w:rFonts w:hint="eastAsia" w:ascii="仿宋_GB2312" w:hAnsi="仿宋_GB2312" w:eastAsia="仿宋_GB2312" w:cs="仿宋_GB2312"/>
                <w:color w:val="auto"/>
                <w:sz w:val="21"/>
                <w:szCs w:val="21"/>
                <w:lang w:eastAsia="zh-CN"/>
              </w:rPr>
              <w:t>分；＞3个月且≤6个月扣</w:t>
            </w:r>
            <w:r>
              <w:rPr>
                <w:rFonts w:hint="eastAsia" w:ascii="仿宋_GB2312" w:hAnsi="仿宋_GB2312" w:eastAsia="仿宋_GB2312" w:cs="仿宋_GB2312"/>
                <w:color w:val="auto"/>
                <w:sz w:val="21"/>
                <w:szCs w:val="21"/>
                <w:lang w:val="en-US" w:eastAsia="zh-CN"/>
              </w:rPr>
              <w:t>20</w:t>
            </w:r>
            <w:r>
              <w:rPr>
                <w:rFonts w:hint="eastAsia" w:ascii="仿宋_GB2312" w:hAnsi="仿宋_GB2312" w:eastAsia="仿宋_GB2312" w:cs="仿宋_GB2312"/>
                <w:color w:val="auto"/>
                <w:sz w:val="21"/>
                <w:szCs w:val="21"/>
                <w:lang w:eastAsia="zh-CN"/>
              </w:rPr>
              <w:t>分；＞6个月扣</w:t>
            </w:r>
            <w:r>
              <w:rPr>
                <w:rFonts w:hint="eastAsia" w:ascii="仿宋_GB2312" w:hAnsi="仿宋_GB2312" w:eastAsia="仿宋_GB2312" w:cs="仿宋_GB2312"/>
                <w:color w:val="auto"/>
                <w:sz w:val="21"/>
                <w:szCs w:val="21"/>
                <w:lang w:val="en-US" w:eastAsia="zh-CN"/>
              </w:rPr>
              <w:t>30</w:t>
            </w:r>
            <w:r>
              <w:rPr>
                <w:rFonts w:hint="eastAsia" w:ascii="仿宋_GB2312" w:hAnsi="仿宋_GB2312" w:eastAsia="仿宋_GB2312" w:cs="仿宋_GB2312"/>
                <w:color w:val="auto"/>
                <w:sz w:val="21"/>
                <w:szCs w:val="21"/>
                <w:lang w:eastAsia="zh-CN"/>
              </w:rPr>
              <w:t>分。</w:t>
            </w:r>
          </w:p>
        </w:tc>
      </w:tr>
      <w:tr>
        <w:tblPrEx>
          <w:tblCellMar>
            <w:top w:w="0" w:type="dxa"/>
            <w:left w:w="0" w:type="dxa"/>
            <w:bottom w:w="0" w:type="dxa"/>
            <w:right w:w="0" w:type="dxa"/>
          </w:tblCellMar>
        </w:tblPrEx>
        <w:trPr>
          <w:gridAfter w:val="1"/>
          <w:wAfter w:w="7" w:type="pct"/>
          <w:trHeight w:val="3415" w:hRule="atLeast"/>
          <w:jc w:val="center"/>
        </w:trPr>
        <w:tc>
          <w:tcPr>
            <w:tcW w:w="243" w:type="pct"/>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line="23" w:lineRule="atLeas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自律管理</w:t>
            </w:r>
          </w:p>
        </w:tc>
        <w:tc>
          <w:tcPr>
            <w:tcW w:w="237"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制度建设</w:t>
            </w:r>
          </w:p>
        </w:tc>
        <w:tc>
          <w:tcPr>
            <w:tcW w:w="284"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spacing w:line="23" w:lineRule="atLeas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内部</w:t>
            </w:r>
          </w:p>
          <w:p>
            <w:pPr>
              <w:spacing w:line="23" w:lineRule="atLeas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制度</w:t>
            </w:r>
          </w:p>
        </w:tc>
        <w:tc>
          <w:tcPr>
            <w:tcW w:w="287"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center"/>
              <w:textAlignment w:val="center"/>
              <w:rPr>
                <w:rFonts w:hint="eastAsia" w:ascii="仿宋_GB2312" w:hAnsi="仿宋_GB2312" w:eastAsia="仿宋_GB2312" w:cs="仿宋_GB2312"/>
                <w:b/>
                <w:color w:val="auto"/>
                <w:sz w:val="21"/>
                <w:szCs w:val="21"/>
                <w:lang w:eastAsia="zh-CN"/>
              </w:rPr>
            </w:pPr>
            <w:r>
              <w:rPr>
                <w:rFonts w:hint="eastAsia" w:ascii="仿宋_GB2312" w:hAnsi="仿宋_GB2312" w:eastAsia="仿宋_GB2312" w:cs="仿宋_GB2312"/>
                <w:b w:val="0"/>
                <w:bCs/>
                <w:color w:val="auto"/>
                <w:sz w:val="21"/>
                <w:szCs w:val="21"/>
                <w:lang w:eastAsia="zh-CN"/>
              </w:rPr>
              <w:t>10</w:t>
            </w:r>
          </w:p>
        </w:tc>
        <w:tc>
          <w:tcPr>
            <w:tcW w:w="267"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eastAsia="zh-CN"/>
              </w:rPr>
              <w:t>10</w:t>
            </w:r>
            <w:r>
              <w:rPr>
                <w:rFonts w:hint="eastAsia" w:ascii="仿宋_GB2312" w:hAnsi="仿宋_GB2312" w:eastAsia="仿宋_GB2312" w:cs="仿宋_GB2312"/>
                <w:color w:val="auto"/>
                <w:sz w:val="21"/>
                <w:szCs w:val="21"/>
              </w:rPr>
              <w:t>‰</w:t>
            </w:r>
          </w:p>
        </w:tc>
        <w:tc>
          <w:tcPr>
            <w:tcW w:w="1283"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both"/>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 xml:space="preserve"> 建立健全院内医保管理、费用管控、风险防范、监督检查、考核奖惩等制度并认真执行。 </w:t>
            </w:r>
          </w:p>
        </w:tc>
        <w:tc>
          <w:tcPr>
            <w:tcW w:w="1308"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both"/>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1.《医疗保障基金使用监督管理条例》；</w:t>
            </w:r>
          </w:p>
          <w:p>
            <w:pPr>
              <w:jc w:val="both"/>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val="en-US" w:eastAsia="zh-CN"/>
              </w:rPr>
              <w:t>2.</w:t>
            </w:r>
            <w:r>
              <w:rPr>
                <w:rFonts w:hint="eastAsia" w:ascii="仿宋_GB2312" w:hAnsi="仿宋_GB2312" w:eastAsia="仿宋_GB2312" w:cs="仿宋_GB2312"/>
                <w:color w:val="auto"/>
                <w:sz w:val="21"/>
                <w:szCs w:val="21"/>
                <w:lang w:eastAsia="zh-CN"/>
              </w:rPr>
              <w:t>《医疗机构医疗保障定点管理暂行办法》。</w:t>
            </w:r>
          </w:p>
          <w:p>
            <w:pPr>
              <w:jc w:val="both"/>
              <w:rPr>
                <w:rFonts w:hint="eastAsia" w:ascii="仿宋_GB2312" w:hAnsi="仿宋_GB2312" w:eastAsia="仿宋_GB2312" w:cs="仿宋_GB2312"/>
                <w:color w:val="auto"/>
                <w:sz w:val="21"/>
                <w:szCs w:val="21"/>
                <w:lang w:eastAsia="zh-CN"/>
              </w:rPr>
            </w:pPr>
          </w:p>
        </w:tc>
        <w:tc>
          <w:tcPr>
            <w:tcW w:w="1079"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both"/>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按照规定制定相关制度并认真执行，得分；</w:t>
            </w:r>
          </w:p>
          <w:p>
            <w:pPr>
              <w:jc w:val="both"/>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按照规定未制定完善相关制度并认真执行，每出现一例扣</w:t>
            </w:r>
            <w:r>
              <w:rPr>
                <w:rFonts w:hint="eastAsia" w:ascii="仿宋_GB2312" w:hAnsi="仿宋_GB2312" w:eastAsia="仿宋_GB2312" w:cs="仿宋_GB2312"/>
                <w:color w:val="auto"/>
                <w:sz w:val="21"/>
                <w:szCs w:val="21"/>
                <w:lang w:val="en-US" w:eastAsia="zh-CN"/>
              </w:rPr>
              <w:t>5</w:t>
            </w:r>
            <w:r>
              <w:rPr>
                <w:rFonts w:hint="eastAsia" w:ascii="仿宋_GB2312" w:hAnsi="仿宋_GB2312" w:eastAsia="仿宋_GB2312" w:cs="仿宋_GB2312"/>
                <w:color w:val="auto"/>
                <w:sz w:val="21"/>
                <w:szCs w:val="21"/>
                <w:lang w:eastAsia="zh-CN"/>
              </w:rPr>
              <w:t>分；</w:t>
            </w:r>
          </w:p>
          <w:p>
            <w:pPr>
              <w:jc w:val="both"/>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未按照规定制定相关制度并认真执行，不得分。</w:t>
            </w:r>
          </w:p>
        </w:tc>
      </w:tr>
      <w:tr>
        <w:tblPrEx>
          <w:tblCellMar>
            <w:top w:w="0" w:type="dxa"/>
            <w:left w:w="0" w:type="dxa"/>
            <w:bottom w:w="0" w:type="dxa"/>
            <w:right w:w="0" w:type="dxa"/>
          </w:tblCellMar>
        </w:tblPrEx>
        <w:trPr>
          <w:gridAfter w:val="1"/>
          <w:wAfter w:w="7" w:type="pct"/>
          <w:trHeight w:val="2161" w:hRule="atLeast"/>
          <w:jc w:val="center"/>
        </w:trPr>
        <w:tc>
          <w:tcPr>
            <w:tcW w:w="243" w:type="pct"/>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line="23" w:lineRule="atLeas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自律管理</w:t>
            </w:r>
          </w:p>
        </w:tc>
        <w:tc>
          <w:tcPr>
            <w:tcW w:w="237"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spacing w:line="23" w:lineRule="atLeas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管理体制</w:t>
            </w:r>
          </w:p>
        </w:tc>
        <w:tc>
          <w:tcPr>
            <w:tcW w:w="284"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spacing w:line="23" w:lineRule="atLeas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管理</w:t>
            </w:r>
          </w:p>
          <w:p>
            <w:pPr>
              <w:spacing w:line="23" w:lineRule="atLeas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组织</w:t>
            </w:r>
          </w:p>
        </w:tc>
        <w:tc>
          <w:tcPr>
            <w:tcW w:w="287"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center"/>
              <w:textAlignment w:val="center"/>
              <w:rPr>
                <w:rFonts w:hint="eastAsia" w:ascii="仿宋_GB2312" w:hAnsi="仿宋_GB2312" w:eastAsia="仿宋_GB2312" w:cs="仿宋_GB2312"/>
                <w:b w:val="0"/>
                <w:bCs/>
                <w:color w:val="auto"/>
                <w:sz w:val="21"/>
                <w:szCs w:val="21"/>
                <w:lang w:eastAsia="zh-CN"/>
              </w:rPr>
            </w:pPr>
            <w:r>
              <w:rPr>
                <w:rFonts w:hint="eastAsia" w:ascii="仿宋_GB2312" w:hAnsi="仿宋_GB2312" w:eastAsia="仿宋_GB2312" w:cs="仿宋_GB2312"/>
                <w:b w:val="0"/>
                <w:bCs/>
                <w:color w:val="auto"/>
                <w:sz w:val="21"/>
                <w:szCs w:val="21"/>
                <w:lang w:eastAsia="zh-CN"/>
              </w:rPr>
              <w:t>10</w:t>
            </w:r>
          </w:p>
        </w:tc>
        <w:tc>
          <w:tcPr>
            <w:tcW w:w="267"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eastAsia="zh-CN"/>
              </w:rPr>
              <w:t>10</w:t>
            </w:r>
            <w:r>
              <w:rPr>
                <w:rFonts w:hint="eastAsia" w:ascii="仿宋_GB2312" w:hAnsi="仿宋_GB2312" w:eastAsia="仿宋_GB2312" w:cs="仿宋_GB2312"/>
                <w:color w:val="auto"/>
                <w:sz w:val="21"/>
                <w:szCs w:val="21"/>
              </w:rPr>
              <w:t>‰</w:t>
            </w:r>
          </w:p>
        </w:tc>
        <w:tc>
          <w:tcPr>
            <w:tcW w:w="1283"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both"/>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明确院领导分管医保工作，健全医保管理部门，配备专</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兼</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职管理人员并适应</w:t>
            </w:r>
            <w:r>
              <w:rPr>
                <w:rFonts w:hint="eastAsia" w:ascii="仿宋_GB2312" w:hAnsi="仿宋_GB2312" w:eastAsia="仿宋_GB2312" w:cs="仿宋_GB2312"/>
                <w:color w:val="auto"/>
                <w:sz w:val="21"/>
                <w:szCs w:val="21"/>
                <w:lang w:val="en-US" w:eastAsia="zh-CN"/>
              </w:rPr>
              <w:t>工作</w:t>
            </w:r>
            <w:r>
              <w:rPr>
                <w:rFonts w:hint="eastAsia" w:ascii="仿宋_GB2312" w:hAnsi="仿宋_GB2312" w:eastAsia="仿宋_GB2312" w:cs="仿宋_GB2312"/>
                <w:color w:val="auto"/>
                <w:sz w:val="21"/>
                <w:szCs w:val="21"/>
              </w:rPr>
              <w:t>需要。</w:t>
            </w:r>
          </w:p>
        </w:tc>
        <w:tc>
          <w:tcPr>
            <w:tcW w:w="1308"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both"/>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val="en-US" w:eastAsia="zh-CN"/>
              </w:rPr>
              <w:t>1.</w:t>
            </w:r>
            <w:r>
              <w:rPr>
                <w:rFonts w:hint="eastAsia" w:ascii="仿宋_GB2312" w:hAnsi="仿宋_GB2312" w:eastAsia="仿宋_GB2312" w:cs="仿宋_GB2312"/>
                <w:color w:val="auto"/>
                <w:sz w:val="21"/>
                <w:szCs w:val="21"/>
                <w:lang w:eastAsia="zh-CN"/>
              </w:rPr>
              <w:t xml:space="preserve">《医疗保障基金使用监督管理条例》； </w:t>
            </w:r>
          </w:p>
          <w:p>
            <w:pPr>
              <w:jc w:val="both"/>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val="en-US" w:eastAsia="zh-CN"/>
              </w:rPr>
              <w:t>2.</w:t>
            </w:r>
            <w:r>
              <w:rPr>
                <w:rFonts w:hint="eastAsia" w:ascii="仿宋_GB2312" w:hAnsi="仿宋_GB2312" w:eastAsia="仿宋_GB2312" w:cs="仿宋_GB2312"/>
                <w:color w:val="auto"/>
                <w:sz w:val="21"/>
                <w:szCs w:val="21"/>
                <w:lang w:eastAsia="zh-CN"/>
              </w:rPr>
              <w:t xml:space="preserve">《医疗机构医疗保障定点管理暂行办法》； </w:t>
            </w:r>
          </w:p>
          <w:p>
            <w:pPr>
              <w:jc w:val="both"/>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val="en-US" w:eastAsia="zh-CN"/>
              </w:rPr>
              <w:t>3.</w:t>
            </w:r>
            <w:r>
              <w:rPr>
                <w:rFonts w:hint="eastAsia" w:ascii="仿宋_GB2312" w:hAnsi="仿宋_GB2312" w:eastAsia="仿宋_GB2312" w:cs="仿宋_GB2312"/>
                <w:color w:val="auto"/>
                <w:sz w:val="21"/>
                <w:szCs w:val="21"/>
                <w:lang w:eastAsia="zh-CN"/>
              </w:rPr>
              <w:t xml:space="preserve">《青海省医疗保障定点医疗机构服务协议（2019版）》。 </w:t>
            </w:r>
          </w:p>
        </w:tc>
        <w:tc>
          <w:tcPr>
            <w:tcW w:w="1079"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both"/>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分管医保院领导</w:t>
            </w:r>
            <w:r>
              <w:rPr>
                <w:rFonts w:hint="eastAsia" w:ascii="仿宋_GB2312" w:hAnsi="仿宋_GB2312" w:eastAsia="仿宋_GB2312" w:cs="仿宋_GB2312"/>
                <w:color w:val="auto"/>
                <w:sz w:val="21"/>
                <w:szCs w:val="21"/>
                <w:lang w:val="en-US" w:eastAsia="zh-CN"/>
              </w:rPr>
              <w:t>明确</w:t>
            </w:r>
            <w:r>
              <w:rPr>
                <w:rFonts w:hint="eastAsia" w:ascii="仿宋_GB2312" w:hAnsi="仿宋_GB2312" w:eastAsia="仿宋_GB2312" w:cs="仿宋_GB2312"/>
                <w:color w:val="auto"/>
                <w:sz w:val="21"/>
                <w:szCs w:val="21"/>
                <w:lang w:eastAsia="zh-CN"/>
              </w:rPr>
              <w:t>，医保管理部门健全，配备了专（兼）职管理人员</w:t>
            </w:r>
            <w:r>
              <w:rPr>
                <w:rFonts w:hint="eastAsia" w:ascii="仿宋_GB2312" w:hAnsi="仿宋_GB2312" w:eastAsia="仿宋_GB2312" w:cs="仿宋_GB2312"/>
                <w:color w:val="auto"/>
                <w:sz w:val="21"/>
                <w:szCs w:val="21"/>
                <w:lang w:val="en-US" w:eastAsia="zh-CN"/>
              </w:rPr>
              <w:t>的，得分；反之不得分。</w:t>
            </w:r>
          </w:p>
        </w:tc>
      </w:tr>
      <w:tr>
        <w:tblPrEx>
          <w:tblCellMar>
            <w:top w:w="0" w:type="dxa"/>
            <w:left w:w="0" w:type="dxa"/>
            <w:bottom w:w="0" w:type="dxa"/>
            <w:right w:w="0" w:type="dxa"/>
          </w:tblCellMar>
        </w:tblPrEx>
        <w:trPr>
          <w:gridAfter w:val="1"/>
          <w:wAfter w:w="7" w:type="pct"/>
          <w:trHeight w:val="1363" w:hRule="atLeast"/>
          <w:jc w:val="center"/>
        </w:trPr>
        <w:tc>
          <w:tcPr>
            <w:tcW w:w="243" w:type="pct"/>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line="23" w:lineRule="atLeas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自律管理</w:t>
            </w:r>
          </w:p>
        </w:tc>
        <w:tc>
          <w:tcPr>
            <w:tcW w:w="237"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spacing w:line="23" w:lineRule="atLeas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管理体制</w:t>
            </w:r>
          </w:p>
        </w:tc>
        <w:tc>
          <w:tcPr>
            <w:tcW w:w="284"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spacing w:line="23" w:lineRule="atLeas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教育</w:t>
            </w:r>
          </w:p>
          <w:p>
            <w:pPr>
              <w:spacing w:line="23" w:lineRule="atLeas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培训</w:t>
            </w:r>
          </w:p>
        </w:tc>
        <w:tc>
          <w:tcPr>
            <w:tcW w:w="287"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center"/>
              <w:textAlignment w:val="center"/>
              <w:rPr>
                <w:rFonts w:hint="eastAsia" w:ascii="仿宋_GB2312" w:hAnsi="仿宋_GB2312" w:eastAsia="仿宋_GB2312" w:cs="仿宋_GB2312"/>
                <w:b w:val="0"/>
                <w:bCs/>
                <w:color w:val="auto"/>
                <w:sz w:val="21"/>
                <w:szCs w:val="21"/>
                <w:lang w:eastAsia="zh-CN"/>
              </w:rPr>
            </w:pPr>
            <w:r>
              <w:rPr>
                <w:rFonts w:hint="eastAsia" w:ascii="仿宋_GB2312" w:hAnsi="仿宋_GB2312" w:eastAsia="仿宋_GB2312" w:cs="仿宋_GB2312"/>
                <w:b w:val="0"/>
                <w:bCs/>
                <w:color w:val="auto"/>
                <w:sz w:val="21"/>
                <w:szCs w:val="21"/>
                <w:lang w:eastAsia="zh-CN"/>
              </w:rPr>
              <w:t>10</w:t>
            </w:r>
          </w:p>
        </w:tc>
        <w:tc>
          <w:tcPr>
            <w:tcW w:w="267"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eastAsia="zh-CN"/>
              </w:rPr>
              <w:t>10</w:t>
            </w:r>
            <w:r>
              <w:rPr>
                <w:rFonts w:hint="eastAsia" w:ascii="仿宋_GB2312" w:hAnsi="仿宋_GB2312" w:eastAsia="仿宋_GB2312" w:cs="仿宋_GB2312"/>
                <w:color w:val="auto"/>
                <w:sz w:val="21"/>
                <w:szCs w:val="21"/>
              </w:rPr>
              <w:t>‰</w:t>
            </w:r>
          </w:p>
        </w:tc>
        <w:tc>
          <w:tcPr>
            <w:tcW w:w="1283"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both"/>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 xml:space="preserve">有计划开展医务人员医德医风、行业自律教育，组织医保制度、政策和管理要求等业务培训。 </w:t>
            </w:r>
          </w:p>
        </w:tc>
        <w:tc>
          <w:tcPr>
            <w:tcW w:w="1308"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both"/>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val="en-US" w:eastAsia="zh-CN"/>
              </w:rPr>
              <w:t>1.</w:t>
            </w:r>
            <w:r>
              <w:rPr>
                <w:rFonts w:hint="eastAsia" w:ascii="仿宋_GB2312" w:hAnsi="仿宋_GB2312" w:eastAsia="仿宋_GB2312" w:cs="仿宋_GB2312"/>
                <w:color w:val="auto"/>
                <w:sz w:val="21"/>
                <w:szCs w:val="21"/>
                <w:lang w:eastAsia="zh-CN"/>
              </w:rPr>
              <w:t xml:space="preserve">《医疗保障基金使用监督管理条例》； </w:t>
            </w:r>
          </w:p>
          <w:p>
            <w:pPr>
              <w:jc w:val="both"/>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val="en-US" w:eastAsia="zh-CN"/>
              </w:rPr>
              <w:t>2.</w:t>
            </w:r>
            <w:r>
              <w:rPr>
                <w:rFonts w:hint="eastAsia" w:ascii="仿宋_GB2312" w:hAnsi="仿宋_GB2312" w:eastAsia="仿宋_GB2312" w:cs="仿宋_GB2312"/>
                <w:color w:val="auto"/>
                <w:sz w:val="21"/>
                <w:szCs w:val="21"/>
                <w:lang w:eastAsia="zh-CN"/>
              </w:rPr>
              <w:t>《医疗机构医疗保障定点管理暂行办法》。</w:t>
            </w:r>
          </w:p>
          <w:p>
            <w:pPr>
              <w:jc w:val="both"/>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 xml:space="preserve"> </w:t>
            </w:r>
          </w:p>
        </w:tc>
        <w:tc>
          <w:tcPr>
            <w:tcW w:w="1079"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both"/>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认真组织开展教育培训，成效明显的，得分；未开展教育培训或流于形式的，不得分。</w:t>
            </w:r>
          </w:p>
        </w:tc>
      </w:tr>
      <w:tr>
        <w:tblPrEx>
          <w:tblCellMar>
            <w:top w:w="0" w:type="dxa"/>
            <w:left w:w="0" w:type="dxa"/>
            <w:bottom w:w="0" w:type="dxa"/>
            <w:right w:w="0" w:type="dxa"/>
          </w:tblCellMar>
        </w:tblPrEx>
        <w:trPr>
          <w:gridAfter w:val="1"/>
          <w:wAfter w:w="7" w:type="pct"/>
          <w:trHeight w:val="1849" w:hRule="atLeast"/>
          <w:jc w:val="center"/>
        </w:trPr>
        <w:tc>
          <w:tcPr>
            <w:tcW w:w="243" w:type="pct"/>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line="23" w:lineRule="atLeas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自律管理</w:t>
            </w:r>
          </w:p>
        </w:tc>
        <w:tc>
          <w:tcPr>
            <w:tcW w:w="237"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spacing w:line="23" w:lineRule="atLeas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管理行为</w:t>
            </w:r>
          </w:p>
        </w:tc>
        <w:tc>
          <w:tcPr>
            <w:tcW w:w="284"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spacing w:line="23" w:lineRule="atLeas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科室</w:t>
            </w:r>
          </w:p>
          <w:p>
            <w:pPr>
              <w:spacing w:line="23" w:lineRule="atLeas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管理</w:t>
            </w:r>
          </w:p>
        </w:tc>
        <w:tc>
          <w:tcPr>
            <w:tcW w:w="287"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center"/>
              <w:textAlignment w:val="center"/>
              <w:rPr>
                <w:rFonts w:hint="eastAsia" w:ascii="仿宋_GB2312" w:hAnsi="仿宋_GB2312" w:eastAsia="仿宋_GB2312" w:cs="仿宋_GB2312"/>
                <w:b w:val="0"/>
                <w:bCs/>
                <w:color w:val="auto"/>
                <w:sz w:val="21"/>
                <w:szCs w:val="21"/>
                <w:lang w:eastAsia="zh-CN"/>
              </w:rPr>
            </w:pPr>
            <w:r>
              <w:rPr>
                <w:rFonts w:hint="eastAsia" w:ascii="仿宋_GB2312" w:hAnsi="仿宋_GB2312" w:eastAsia="仿宋_GB2312" w:cs="仿宋_GB2312"/>
                <w:b w:val="0"/>
                <w:bCs/>
                <w:color w:val="auto"/>
                <w:sz w:val="21"/>
                <w:szCs w:val="21"/>
                <w:lang w:eastAsia="zh-CN"/>
              </w:rPr>
              <w:t>10</w:t>
            </w:r>
          </w:p>
        </w:tc>
        <w:tc>
          <w:tcPr>
            <w:tcW w:w="267"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eastAsia="zh-CN"/>
              </w:rPr>
              <w:t>10</w:t>
            </w:r>
            <w:r>
              <w:rPr>
                <w:rFonts w:hint="eastAsia" w:ascii="仿宋_GB2312" w:hAnsi="仿宋_GB2312" w:eastAsia="仿宋_GB2312" w:cs="仿宋_GB2312"/>
                <w:color w:val="auto"/>
                <w:sz w:val="21"/>
                <w:szCs w:val="21"/>
              </w:rPr>
              <w:t>‰</w:t>
            </w:r>
          </w:p>
        </w:tc>
        <w:tc>
          <w:tcPr>
            <w:tcW w:w="1283"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both"/>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明确并落实科室医保管理责任</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lang w:val="en-US" w:eastAsia="zh-CN"/>
              </w:rPr>
              <w:t>规范</w:t>
            </w:r>
            <w:r>
              <w:rPr>
                <w:rFonts w:hint="eastAsia" w:ascii="仿宋_GB2312" w:hAnsi="仿宋_GB2312" w:eastAsia="仿宋_GB2312" w:cs="仿宋_GB2312"/>
                <w:color w:val="auto"/>
                <w:sz w:val="21"/>
                <w:szCs w:val="21"/>
              </w:rPr>
              <w:t xml:space="preserve">开展医疗服务。 </w:t>
            </w:r>
          </w:p>
        </w:tc>
        <w:tc>
          <w:tcPr>
            <w:tcW w:w="1308"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both"/>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 xml:space="preserve">《青海省医疗保障定点医疗机构服务协议（2019版）》。 </w:t>
            </w:r>
          </w:p>
        </w:tc>
        <w:tc>
          <w:tcPr>
            <w:tcW w:w="1079"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both"/>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科室医保管理责任</w:t>
            </w:r>
            <w:r>
              <w:rPr>
                <w:rFonts w:hint="eastAsia" w:ascii="仿宋_GB2312" w:hAnsi="仿宋_GB2312" w:eastAsia="仿宋_GB2312" w:cs="仿宋_GB2312"/>
                <w:color w:val="auto"/>
                <w:sz w:val="21"/>
                <w:szCs w:val="21"/>
                <w:lang w:val="en-US" w:eastAsia="zh-CN"/>
              </w:rPr>
              <w:t>明确，管理规范的得分；反之不得分</w:t>
            </w:r>
          </w:p>
        </w:tc>
      </w:tr>
      <w:tr>
        <w:tblPrEx>
          <w:tblCellMar>
            <w:top w:w="0" w:type="dxa"/>
            <w:left w:w="0" w:type="dxa"/>
            <w:bottom w:w="0" w:type="dxa"/>
            <w:right w:w="0" w:type="dxa"/>
          </w:tblCellMar>
        </w:tblPrEx>
        <w:trPr>
          <w:gridAfter w:val="1"/>
          <w:wAfter w:w="7" w:type="pct"/>
          <w:trHeight w:val="23" w:hRule="atLeast"/>
          <w:jc w:val="center"/>
        </w:trPr>
        <w:tc>
          <w:tcPr>
            <w:tcW w:w="243" w:type="pct"/>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line="23" w:lineRule="atLeas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自律管理</w:t>
            </w:r>
          </w:p>
        </w:tc>
        <w:tc>
          <w:tcPr>
            <w:tcW w:w="237"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spacing w:line="23" w:lineRule="atLeas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管理行为</w:t>
            </w:r>
          </w:p>
        </w:tc>
        <w:tc>
          <w:tcPr>
            <w:tcW w:w="284"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spacing w:line="23" w:lineRule="atLeas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自查</w:t>
            </w:r>
          </w:p>
          <w:p>
            <w:pPr>
              <w:spacing w:line="23" w:lineRule="atLeas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自纠</w:t>
            </w:r>
          </w:p>
        </w:tc>
        <w:tc>
          <w:tcPr>
            <w:tcW w:w="287"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center"/>
              <w:textAlignment w:val="center"/>
              <w:rPr>
                <w:rFonts w:hint="eastAsia" w:ascii="仿宋_GB2312" w:hAnsi="仿宋_GB2312" w:eastAsia="仿宋_GB2312" w:cs="仿宋_GB2312"/>
                <w:b w:val="0"/>
                <w:bCs/>
                <w:color w:val="auto"/>
                <w:sz w:val="21"/>
                <w:szCs w:val="21"/>
                <w:lang w:eastAsia="zh-CN"/>
              </w:rPr>
            </w:pPr>
            <w:r>
              <w:rPr>
                <w:rFonts w:hint="eastAsia" w:ascii="仿宋_GB2312" w:hAnsi="仿宋_GB2312" w:eastAsia="仿宋_GB2312" w:cs="仿宋_GB2312"/>
                <w:b w:val="0"/>
                <w:bCs/>
                <w:color w:val="auto"/>
                <w:sz w:val="21"/>
                <w:szCs w:val="21"/>
                <w:lang w:val="en-US" w:eastAsia="zh-CN"/>
              </w:rPr>
              <w:t>5</w:t>
            </w:r>
            <w:r>
              <w:rPr>
                <w:rFonts w:hint="eastAsia" w:ascii="仿宋_GB2312" w:hAnsi="仿宋_GB2312" w:eastAsia="仿宋_GB2312" w:cs="仿宋_GB2312"/>
                <w:b w:val="0"/>
                <w:bCs/>
                <w:color w:val="auto"/>
                <w:sz w:val="21"/>
                <w:szCs w:val="21"/>
                <w:lang w:eastAsia="zh-CN"/>
              </w:rPr>
              <w:t>0</w:t>
            </w:r>
          </w:p>
        </w:tc>
        <w:tc>
          <w:tcPr>
            <w:tcW w:w="267"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rPr>
              <w:t>5</w:t>
            </w:r>
            <w:r>
              <w:rPr>
                <w:rFonts w:hint="eastAsia" w:ascii="仿宋_GB2312" w:hAnsi="仿宋_GB2312" w:eastAsia="仿宋_GB2312" w:cs="仿宋_GB2312"/>
                <w:color w:val="auto"/>
                <w:sz w:val="21"/>
                <w:szCs w:val="21"/>
                <w:lang w:eastAsia="zh-CN"/>
              </w:rPr>
              <w:t>0</w:t>
            </w:r>
            <w:r>
              <w:rPr>
                <w:rFonts w:hint="eastAsia" w:ascii="仿宋_GB2312" w:hAnsi="仿宋_GB2312" w:eastAsia="仿宋_GB2312" w:cs="仿宋_GB2312"/>
                <w:color w:val="auto"/>
                <w:sz w:val="21"/>
                <w:szCs w:val="21"/>
              </w:rPr>
              <w:t>‰</w:t>
            </w:r>
          </w:p>
        </w:tc>
        <w:tc>
          <w:tcPr>
            <w:tcW w:w="1283"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both"/>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 xml:space="preserve"> 定期检查医院医保基金使用情况，及时纠正医疗保障基金使用不规范的行为。 </w:t>
            </w:r>
          </w:p>
        </w:tc>
        <w:tc>
          <w:tcPr>
            <w:tcW w:w="1308"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both"/>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val="en-US" w:eastAsia="zh-CN"/>
              </w:rPr>
              <w:t>1.</w:t>
            </w:r>
            <w:r>
              <w:rPr>
                <w:rFonts w:hint="eastAsia" w:ascii="仿宋_GB2312" w:hAnsi="仿宋_GB2312" w:eastAsia="仿宋_GB2312" w:cs="仿宋_GB2312"/>
                <w:color w:val="auto"/>
                <w:sz w:val="21"/>
                <w:szCs w:val="21"/>
                <w:lang w:eastAsia="zh-CN"/>
              </w:rPr>
              <w:t>《医疗保障基金使用监督管理条例》；</w:t>
            </w:r>
          </w:p>
          <w:p>
            <w:pPr>
              <w:jc w:val="both"/>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 xml:space="preserve"> </w:t>
            </w:r>
            <w:r>
              <w:rPr>
                <w:rFonts w:hint="eastAsia" w:ascii="仿宋_GB2312" w:hAnsi="仿宋_GB2312" w:eastAsia="仿宋_GB2312" w:cs="仿宋_GB2312"/>
                <w:color w:val="auto"/>
                <w:sz w:val="21"/>
                <w:szCs w:val="21"/>
                <w:lang w:val="en-US" w:eastAsia="zh-CN"/>
              </w:rPr>
              <w:t>2.</w:t>
            </w:r>
            <w:r>
              <w:rPr>
                <w:rFonts w:hint="eastAsia" w:ascii="仿宋_GB2312" w:hAnsi="仿宋_GB2312" w:eastAsia="仿宋_GB2312" w:cs="仿宋_GB2312"/>
                <w:color w:val="auto"/>
                <w:sz w:val="21"/>
                <w:szCs w:val="21"/>
                <w:lang w:eastAsia="zh-CN"/>
              </w:rPr>
              <w:t>《医疗机构医疗保障定点管理暂行办法》。</w:t>
            </w:r>
          </w:p>
        </w:tc>
        <w:tc>
          <w:tcPr>
            <w:tcW w:w="1079"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both"/>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能够</w:t>
            </w:r>
            <w:r>
              <w:rPr>
                <w:rFonts w:hint="eastAsia" w:ascii="仿宋_GB2312" w:hAnsi="仿宋_GB2312" w:eastAsia="仿宋_GB2312" w:cs="仿宋_GB2312"/>
                <w:color w:val="auto"/>
                <w:sz w:val="21"/>
                <w:szCs w:val="21"/>
                <w:lang w:eastAsia="zh-CN"/>
              </w:rPr>
              <w:t>定期检查医院医保基金使用情况，及时纠正医疗保障基金使用不规范的行为</w:t>
            </w:r>
            <w:r>
              <w:rPr>
                <w:rFonts w:hint="eastAsia" w:ascii="仿宋_GB2312" w:hAnsi="仿宋_GB2312" w:eastAsia="仿宋_GB2312" w:cs="仿宋_GB2312"/>
                <w:color w:val="auto"/>
                <w:sz w:val="21"/>
                <w:szCs w:val="21"/>
                <w:lang w:val="en-US" w:eastAsia="zh-CN"/>
              </w:rPr>
              <w:t>的，得分；反之不得分</w:t>
            </w:r>
          </w:p>
        </w:tc>
      </w:tr>
      <w:tr>
        <w:tblPrEx>
          <w:tblCellMar>
            <w:top w:w="0" w:type="dxa"/>
            <w:left w:w="0" w:type="dxa"/>
            <w:bottom w:w="0" w:type="dxa"/>
            <w:right w:w="0" w:type="dxa"/>
          </w:tblCellMar>
        </w:tblPrEx>
        <w:trPr>
          <w:gridAfter w:val="1"/>
          <w:wAfter w:w="7" w:type="pct"/>
          <w:trHeight w:val="23" w:hRule="atLeast"/>
          <w:jc w:val="center"/>
        </w:trPr>
        <w:tc>
          <w:tcPr>
            <w:tcW w:w="243" w:type="pct"/>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line="23" w:lineRule="atLeas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自律管理</w:t>
            </w:r>
          </w:p>
        </w:tc>
        <w:tc>
          <w:tcPr>
            <w:tcW w:w="237"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spacing w:line="23" w:lineRule="atLeas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管理行为</w:t>
            </w:r>
          </w:p>
        </w:tc>
        <w:tc>
          <w:tcPr>
            <w:tcW w:w="284"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举报</w:t>
            </w:r>
          </w:p>
          <w:p>
            <w:pPr>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投诉</w:t>
            </w:r>
          </w:p>
        </w:tc>
        <w:tc>
          <w:tcPr>
            <w:tcW w:w="287"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center"/>
              <w:textAlignment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val="en-US" w:eastAsia="zh-CN"/>
              </w:rPr>
              <w:t>5</w:t>
            </w:r>
            <w:r>
              <w:rPr>
                <w:rFonts w:hint="eastAsia" w:ascii="仿宋_GB2312" w:hAnsi="仿宋_GB2312" w:eastAsia="仿宋_GB2312" w:cs="仿宋_GB2312"/>
                <w:color w:val="auto"/>
                <w:sz w:val="21"/>
                <w:szCs w:val="21"/>
                <w:lang w:eastAsia="zh-CN"/>
              </w:rPr>
              <w:t>0</w:t>
            </w:r>
          </w:p>
        </w:tc>
        <w:tc>
          <w:tcPr>
            <w:tcW w:w="267"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rPr>
              <w:t>5</w:t>
            </w:r>
            <w:r>
              <w:rPr>
                <w:rFonts w:hint="eastAsia" w:ascii="仿宋_GB2312" w:hAnsi="仿宋_GB2312" w:eastAsia="仿宋_GB2312" w:cs="仿宋_GB2312"/>
                <w:color w:val="auto"/>
                <w:sz w:val="21"/>
                <w:szCs w:val="21"/>
                <w:lang w:eastAsia="zh-CN"/>
              </w:rPr>
              <w:t>0</w:t>
            </w:r>
            <w:r>
              <w:rPr>
                <w:rFonts w:hint="eastAsia" w:ascii="仿宋_GB2312" w:hAnsi="仿宋_GB2312" w:eastAsia="仿宋_GB2312" w:cs="仿宋_GB2312"/>
                <w:color w:val="auto"/>
                <w:sz w:val="21"/>
                <w:szCs w:val="21"/>
              </w:rPr>
              <w:t>‰</w:t>
            </w:r>
          </w:p>
        </w:tc>
        <w:tc>
          <w:tcPr>
            <w:tcW w:w="1283"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both"/>
              <w:textAlignment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rPr>
              <w:t>网上、信函、电话投诉等医保服务情况。举报投诉 设立有明显标识的举报投诉窗口、公布举报投诉电话，及时妥善处理并定期 发布处理情况。</w:t>
            </w:r>
          </w:p>
        </w:tc>
        <w:tc>
          <w:tcPr>
            <w:tcW w:w="1308"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both"/>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《青海省医疗保障定点医疗机构服务协议（2019版）》。</w:t>
            </w:r>
          </w:p>
        </w:tc>
        <w:tc>
          <w:tcPr>
            <w:tcW w:w="1079"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both"/>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网上、信函、电话投诉等，查证属实的，1次扣10分，扣完为止。</w:t>
            </w:r>
          </w:p>
        </w:tc>
      </w:tr>
      <w:tr>
        <w:tblPrEx>
          <w:tblCellMar>
            <w:top w:w="0" w:type="dxa"/>
            <w:left w:w="0" w:type="dxa"/>
            <w:bottom w:w="0" w:type="dxa"/>
            <w:right w:w="0" w:type="dxa"/>
          </w:tblCellMar>
        </w:tblPrEx>
        <w:trPr>
          <w:gridAfter w:val="1"/>
          <w:wAfter w:w="7" w:type="pct"/>
          <w:trHeight w:val="23" w:hRule="atLeast"/>
          <w:jc w:val="center"/>
        </w:trPr>
        <w:tc>
          <w:tcPr>
            <w:tcW w:w="243" w:type="pct"/>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line="23" w:lineRule="atLeas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自律管理</w:t>
            </w:r>
          </w:p>
        </w:tc>
        <w:tc>
          <w:tcPr>
            <w:tcW w:w="237"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spacing w:line="23" w:lineRule="atLeas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管理行为</w:t>
            </w:r>
          </w:p>
        </w:tc>
        <w:tc>
          <w:tcPr>
            <w:tcW w:w="284"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spacing w:line="23" w:lineRule="atLeas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廉洁</w:t>
            </w:r>
          </w:p>
          <w:p>
            <w:pPr>
              <w:spacing w:line="23" w:lineRule="atLeas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自律</w:t>
            </w:r>
          </w:p>
        </w:tc>
        <w:tc>
          <w:tcPr>
            <w:tcW w:w="287"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center"/>
              <w:textAlignment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val="en-US" w:eastAsia="zh-CN"/>
              </w:rPr>
              <w:t>5</w:t>
            </w:r>
            <w:r>
              <w:rPr>
                <w:rFonts w:hint="eastAsia" w:ascii="仿宋_GB2312" w:hAnsi="仿宋_GB2312" w:eastAsia="仿宋_GB2312" w:cs="仿宋_GB2312"/>
                <w:color w:val="auto"/>
                <w:sz w:val="21"/>
                <w:szCs w:val="21"/>
                <w:lang w:eastAsia="zh-CN"/>
              </w:rPr>
              <w:t>0</w:t>
            </w:r>
          </w:p>
        </w:tc>
        <w:tc>
          <w:tcPr>
            <w:tcW w:w="267"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rPr>
              <w:t>5</w:t>
            </w:r>
            <w:r>
              <w:rPr>
                <w:rFonts w:hint="eastAsia" w:ascii="仿宋_GB2312" w:hAnsi="仿宋_GB2312" w:eastAsia="仿宋_GB2312" w:cs="仿宋_GB2312"/>
                <w:color w:val="auto"/>
                <w:sz w:val="21"/>
                <w:szCs w:val="21"/>
                <w:lang w:eastAsia="zh-CN"/>
              </w:rPr>
              <w:t>0</w:t>
            </w:r>
            <w:r>
              <w:rPr>
                <w:rFonts w:hint="eastAsia" w:ascii="仿宋_GB2312" w:hAnsi="仿宋_GB2312" w:eastAsia="仿宋_GB2312" w:cs="仿宋_GB2312"/>
                <w:color w:val="auto"/>
                <w:sz w:val="21"/>
                <w:szCs w:val="21"/>
              </w:rPr>
              <w:t>‰</w:t>
            </w:r>
          </w:p>
        </w:tc>
        <w:tc>
          <w:tcPr>
            <w:tcW w:w="1283"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both"/>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 xml:space="preserve">医保基金使用中，医院及其工作人员不得收受贿赂或者取得其他非法收入。 </w:t>
            </w:r>
          </w:p>
        </w:tc>
        <w:tc>
          <w:tcPr>
            <w:tcW w:w="1308"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both"/>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《医疗保障基金使用监督管理条例》。</w:t>
            </w:r>
          </w:p>
        </w:tc>
        <w:tc>
          <w:tcPr>
            <w:tcW w:w="1079"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both"/>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医院及其工作人员收受贿赂或者取得其他非法收入</w:t>
            </w:r>
            <w:r>
              <w:rPr>
                <w:rFonts w:hint="eastAsia" w:ascii="仿宋_GB2312" w:hAnsi="仿宋_GB2312" w:eastAsia="仿宋_GB2312" w:cs="仿宋_GB2312"/>
                <w:color w:val="auto"/>
                <w:sz w:val="21"/>
                <w:szCs w:val="21"/>
                <w:lang w:val="en-US" w:eastAsia="zh-CN"/>
              </w:rPr>
              <w:t>的，不得分；不存在以上情形的，得分。</w:t>
            </w:r>
          </w:p>
        </w:tc>
      </w:tr>
      <w:tr>
        <w:tblPrEx>
          <w:tblCellMar>
            <w:top w:w="0" w:type="dxa"/>
            <w:left w:w="0" w:type="dxa"/>
            <w:bottom w:w="0" w:type="dxa"/>
            <w:right w:w="0" w:type="dxa"/>
          </w:tblCellMar>
        </w:tblPrEx>
        <w:trPr>
          <w:gridAfter w:val="1"/>
          <w:wAfter w:w="7" w:type="pct"/>
          <w:trHeight w:val="1051" w:hRule="atLeast"/>
          <w:jc w:val="center"/>
        </w:trPr>
        <w:tc>
          <w:tcPr>
            <w:tcW w:w="243" w:type="pct"/>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line="23" w:lineRule="atLeas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行政处罚</w:t>
            </w:r>
          </w:p>
        </w:tc>
        <w:tc>
          <w:tcPr>
            <w:tcW w:w="237"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spacing w:line="23" w:lineRule="atLeas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行政处罚</w:t>
            </w:r>
          </w:p>
        </w:tc>
        <w:tc>
          <w:tcPr>
            <w:tcW w:w="284"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spacing w:line="23" w:lineRule="atLeas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行政</w:t>
            </w:r>
          </w:p>
          <w:p>
            <w:pPr>
              <w:spacing w:line="23" w:lineRule="atLeas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处罚</w:t>
            </w:r>
          </w:p>
        </w:tc>
        <w:tc>
          <w:tcPr>
            <w:tcW w:w="287"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center"/>
              <w:textAlignment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50</w:t>
            </w:r>
          </w:p>
        </w:tc>
        <w:tc>
          <w:tcPr>
            <w:tcW w:w="267"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rPr>
              <w:t>50</w:t>
            </w:r>
            <w:r>
              <w:rPr>
                <w:rFonts w:hint="eastAsia" w:ascii="仿宋_GB2312" w:hAnsi="仿宋_GB2312" w:eastAsia="仿宋_GB2312" w:cs="仿宋_GB2312"/>
                <w:color w:val="auto"/>
                <w:sz w:val="21"/>
                <w:szCs w:val="21"/>
              </w:rPr>
              <w:t>‰</w:t>
            </w:r>
          </w:p>
        </w:tc>
        <w:tc>
          <w:tcPr>
            <w:tcW w:w="1283"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spacing w:line="23" w:lineRule="atLeast"/>
              <w:jc w:val="both"/>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 xml:space="preserve"> 被除医保部门以外的政府行政部门给予行政处罚情况。 </w:t>
            </w:r>
          </w:p>
        </w:tc>
        <w:tc>
          <w:tcPr>
            <w:tcW w:w="1308"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both"/>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《医疗保障基金使用监督管理条例》。</w:t>
            </w:r>
          </w:p>
        </w:tc>
        <w:tc>
          <w:tcPr>
            <w:tcW w:w="1079"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both"/>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每被相关行政部门给予行政处罚一次，扣1</w:t>
            </w:r>
            <w:r>
              <w:rPr>
                <w:rFonts w:hint="eastAsia" w:ascii="仿宋_GB2312" w:hAnsi="仿宋_GB2312" w:eastAsia="仿宋_GB2312" w:cs="仿宋_GB2312"/>
                <w:color w:val="auto"/>
                <w:sz w:val="21"/>
                <w:szCs w:val="21"/>
                <w:lang w:val="en-US" w:eastAsia="zh-CN"/>
              </w:rPr>
              <w:t>0</w:t>
            </w:r>
            <w:r>
              <w:rPr>
                <w:rFonts w:hint="eastAsia" w:ascii="仿宋_GB2312" w:hAnsi="仿宋_GB2312" w:eastAsia="仿宋_GB2312" w:cs="仿宋_GB2312"/>
                <w:color w:val="auto"/>
                <w:sz w:val="21"/>
                <w:szCs w:val="21"/>
                <w:lang w:eastAsia="zh-CN"/>
              </w:rPr>
              <w:t>分；扣完为止。</w:t>
            </w:r>
          </w:p>
        </w:tc>
      </w:tr>
      <w:tr>
        <w:tblPrEx>
          <w:tblCellMar>
            <w:top w:w="0" w:type="dxa"/>
            <w:left w:w="0" w:type="dxa"/>
            <w:bottom w:w="0" w:type="dxa"/>
            <w:right w:w="0" w:type="dxa"/>
          </w:tblCellMar>
        </w:tblPrEx>
        <w:trPr>
          <w:gridAfter w:val="1"/>
          <w:wAfter w:w="7" w:type="pct"/>
          <w:trHeight w:val="23" w:hRule="atLeast"/>
          <w:jc w:val="center"/>
        </w:trPr>
        <w:tc>
          <w:tcPr>
            <w:tcW w:w="243" w:type="pct"/>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line="23" w:lineRule="atLeas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纪检处理</w:t>
            </w:r>
          </w:p>
        </w:tc>
        <w:tc>
          <w:tcPr>
            <w:tcW w:w="237"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spacing w:line="23" w:lineRule="atLeas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纪检处理</w:t>
            </w:r>
          </w:p>
        </w:tc>
        <w:tc>
          <w:tcPr>
            <w:tcW w:w="284"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spacing w:line="23" w:lineRule="atLeas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纪检</w:t>
            </w:r>
          </w:p>
          <w:p>
            <w:pPr>
              <w:spacing w:line="23" w:lineRule="atLeas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处理</w:t>
            </w:r>
          </w:p>
        </w:tc>
        <w:tc>
          <w:tcPr>
            <w:tcW w:w="287"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center"/>
              <w:textAlignment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50</w:t>
            </w:r>
          </w:p>
        </w:tc>
        <w:tc>
          <w:tcPr>
            <w:tcW w:w="267"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rPr>
              <w:t>50</w:t>
            </w:r>
            <w:r>
              <w:rPr>
                <w:rFonts w:hint="eastAsia" w:ascii="仿宋_GB2312" w:hAnsi="仿宋_GB2312" w:eastAsia="仿宋_GB2312" w:cs="仿宋_GB2312"/>
                <w:color w:val="auto"/>
                <w:sz w:val="21"/>
                <w:szCs w:val="21"/>
              </w:rPr>
              <w:t>‰</w:t>
            </w:r>
          </w:p>
        </w:tc>
        <w:tc>
          <w:tcPr>
            <w:tcW w:w="1283"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both"/>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 xml:space="preserve"> 因医保方面问题，受到纪律检查或监察部门处理。 </w:t>
            </w:r>
          </w:p>
          <w:p>
            <w:pPr>
              <w:spacing w:line="23" w:lineRule="atLeast"/>
              <w:jc w:val="both"/>
              <w:textAlignment w:val="center"/>
              <w:rPr>
                <w:rFonts w:hint="eastAsia" w:ascii="仿宋_GB2312" w:hAnsi="仿宋_GB2312" w:eastAsia="仿宋_GB2312" w:cs="仿宋_GB2312"/>
                <w:color w:val="auto"/>
                <w:sz w:val="21"/>
                <w:szCs w:val="21"/>
              </w:rPr>
            </w:pPr>
          </w:p>
        </w:tc>
        <w:tc>
          <w:tcPr>
            <w:tcW w:w="1308"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both"/>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《医疗保障基金使用监督管理条例》。</w:t>
            </w:r>
          </w:p>
        </w:tc>
        <w:tc>
          <w:tcPr>
            <w:tcW w:w="1079"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both"/>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每被</w:t>
            </w:r>
            <w:r>
              <w:rPr>
                <w:rFonts w:hint="eastAsia" w:ascii="仿宋_GB2312" w:hAnsi="仿宋_GB2312" w:eastAsia="仿宋_GB2312" w:cs="仿宋_GB2312"/>
                <w:color w:val="auto"/>
                <w:sz w:val="21"/>
                <w:szCs w:val="21"/>
                <w:lang w:val="en-US" w:eastAsia="zh-CN"/>
              </w:rPr>
              <w:t>纪检处理</w:t>
            </w:r>
            <w:r>
              <w:rPr>
                <w:rFonts w:hint="eastAsia" w:ascii="仿宋_GB2312" w:hAnsi="仿宋_GB2312" w:eastAsia="仿宋_GB2312" w:cs="仿宋_GB2312"/>
                <w:color w:val="auto"/>
                <w:sz w:val="21"/>
                <w:szCs w:val="21"/>
                <w:lang w:eastAsia="zh-CN"/>
              </w:rPr>
              <w:t>一次，扣1</w:t>
            </w:r>
            <w:r>
              <w:rPr>
                <w:rFonts w:hint="eastAsia" w:ascii="仿宋_GB2312" w:hAnsi="仿宋_GB2312" w:eastAsia="仿宋_GB2312" w:cs="仿宋_GB2312"/>
                <w:color w:val="auto"/>
                <w:sz w:val="21"/>
                <w:szCs w:val="21"/>
                <w:lang w:val="en-US" w:eastAsia="zh-CN"/>
              </w:rPr>
              <w:t>0</w:t>
            </w:r>
            <w:r>
              <w:rPr>
                <w:rFonts w:hint="eastAsia" w:ascii="仿宋_GB2312" w:hAnsi="仿宋_GB2312" w:eastAsia="仿宋_GB2312" w:cs="仿宋_GB2312"/>
                <w:color w:val="auto"/>
                <w:sz w:val="21"/>
                <w:szCs w:val="21"/>
                <w:lang w:eastAsia="zh-CN"/>
              </w:rPr>
              <w:t>分；扣完为止。</w:t>
            </w:r>
          </w:p>
        </w:tc>
      </w:tr>
      <w:tr>
        <w:tblPrEx>
          <w:tblCellMar>
            <w:top w:w="0" w:type="dxa"/>
            <w:left w:w="0" w:type="dxa"/>
            <w:bottom w:w="0" w:type="dxa"/>
            <w:right w:w="0" w:type="dxa"/>
          </w:tblCellMar>
        </w:tblPrEx>
        <w:trPr>
          <w:gridAfter w:val="1"/>
          <w:wAfter w:w="7" w:type="pct"/>
          <w:trHeight w:val="1720" w:hRule="atLeast"/>
          <w:jc w:val="center"/>
        </w:trPr>
        <w:tc>
          <w:tcPr>
            <w:tcW w:w="243" w:type="pct"/>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社会</w:t>
            </w:r>
          </w:p>
          <w:p>
            <w:pPr>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信用</w:t>
            </w:r>
          </w:p>
        </w:tc>
        <w:tc>
          <w:tcPr>
            <w:tcW w:w="237"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历史信用</w:t>
            </w:r>
          </w:p>
        </w:tc>
        <w:tc>
          <w:tcPr>
            <w:tcW w:w="284"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历史</w:t>
            </w:r>
          </w:p>
          <w:p>
            <w:pPr>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守信</w:t>
            </w:r>
          </w:p>
        </w:tc>
        <w:tc>
          <w:tcPr>
            <w:tcW w:w="287"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center"/>
              <w:textAlignment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val="en-US" w:eastAsia="zh-CN"/>
              </w:rPr>
              <w:t>1</w:t>
            </w:r>
            <w:r>
              <w:rPr>
                <w:rFonts w:hint="eastAsia" w:ascii="仿宋_GB2312" w:hAnsi="仿宋_GB2312" w:eastAsia="仿宋_GB2312" w:cs="仿宋_GB2312"/>
                <w:color w:val="auto"/>
                <w:sz w:val="21"/>
                <w:szCs w:val="21"/>
                <w:lang w:eastAsia="zh-CN"/>
              </w:rPr>
              <w:t>0</w:t>
            </w:r>
          </w:p>
        </w:tc>
        <w:tc>
          <w:tcPr>
            <w:tcW w:w="267"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rPr>
              <w:t>1</w:t>
            </w:r>
            <w:r>
              <w:rPr>
                <w:rFonts w:hint="eastAsia" w:ascii="仿宋_GB2312" w:hAnsi="仿宋_GB2312" w:eastAsia="仿宋_GB2312" w:cs="仿宋_GB2312"/>
                <w:color w:val="auto"/>
                <w:sz w:val="21"/>
                <w:szCs w:val="21"/>
                <w:lang w:eastAsia="zh-CN"/>
              </w:rPr>
              <w:t>0</w:t>
            </w:r>
            <w:r>
              <w:rPr>
                <w:rFonts w:hint="eastAsia" w:ascii="仿宋_GB2312" w:hAnsi="仿宋_GB2312" w:eastAsia="仿宋_GB2312" w:cs="仿宋_GB2312"/>
                <w:color w:val="auto"/>
                <w:sz w:val="21"/>
                <w:szCs w:val="21"/>
              </w:rPr>
              <w:t>‰</w:t>
            </w:r>
          </w:p>
        </w:tc>
        <w:tc>
          <w:tcPr>
            <w:tcW w:w="1283"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both"/>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对于</w:t>
            </w:r>
            <w:r>
              <w:rPr>
                <w:rFonts w:hint="eastAsia" w:ascii="仿宋_GB2312" w:hAnsi="仿宋_GB2312" w:eastAsia="仿宋_GB2312" w:cs="仿宋_GB2312"/>
                <w:color w:val="auto"/>
                <w:sz w:val="21"/>
                <w:szCs w:val="21"/>
                <w:lang w:val="en-US" w:eastAsia="zh-CN"/>
              </w:rPr>
              <w:t>上一评价周期</w:t>
            </w:r>
            <w:r>
              <w:rPr>
                <w:rFonts w:hint="eastAsia" w:ascii="仿宋_GB2312" w:hAnsi="仿宋_GB2312" w:eastAsia="仿宋_GB2312" w:cs="仿宋_GB2312"/>
                <w:color w:val="auto"/>
                <w:sz w:val="21"/>
                <w:szCs w:val="21"/>
              </w:rPr>
              <w:t>未发生违规行为的守信机构，予以奖励。</w:t>
            </w:r>
          </w:p>
        </w:tc>
        <w:tc>
          <w:tcPr>
            <w:tcW w:w="1308"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both"/>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《青海省公共信用信息条例》。</w:t>
            </w:r>
          </w:p>
        </w:tc>
        <w:tc>
          <w:tcPr>
            <w:tcW w:w="1079"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both"/>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val="en-US" w:eastAsia="zh-CN"/>
              </w:rPr>
              <w:t>对上一评价周期</w:t>
            </w:r>
            <w:r>
              <w:rPr>
                <w:rFonts w:hint="eastAsia" w:ascii="仿宋_GB2312" w:hAnsi="仿宋_GB2312" w:eastAsia="仿宋_GB2312" w:cs="仿宋_GB2312"/>
                <w:color w:val="auto"/>
                <w:sz w:val="21"/>
                <w:szCs w:val="21"/>
                <w:lang w:eastAsia="zh-CN"/>
              </w:rPr>
              <w:t>未发生违规行为的机构总分加</w:t>
            </w:r>
            <w:r>
              <w:rPr>
                <w:rFonts w:hint="eastAsia" w:ascii="仿宋_GB2312" w:hAnsi="仿宋_GB2312" w:eastAsia="仿宋_GB2312" w:cs="仿宋_GB2312"/>
                <w:color w:val="auto"/>
                <w:sz w:val="21"/>
                <w:szCs w:val="21"/>
                <w:lang w:val="en-US" w:eastAsia="zh-CN"/>
              </w:rPr>
              <w:t>1</w:t>
            </w:r>
            <w:r>
              <w:rPr>
                <w:rFonts w:hint="eastAsia" w:ascii="仿宋_GB2312" w:hAnsi="仿宋_GB2312" w:eastAsia="仿宋_GB2312" w:cs="仿宋_GB2312"/>
                <w:color w:val="auto"/>
                <w:sz w:val="21"/>
                <w:szCs w:val="21"/>
                <w:lang w:eastAsia="zh-CN"/>
              </w:rPr>
              <w:t>0分；</w:t>
            </w:r>
            <w:r>
              <w:rPr>
                <w:rFonts w:hint="eastAsia" w:ascii="仿宋_GB2312" w:hAnsi="仿宋_GB2312" w:eastAsia="仿宋_GB2312" w:cs="仿宋_GB2312"/>
                <w:color w:val="auto"/>
                <w:sz w:val="21"/>
                <w:szCs w:val="21"/>
                <w:lang w:val="en-US" w:eastAsia="zh-CN"/>
              </w:rPr>
              <w:t>反之不加分</w:t>
            </w:r>
            <w:r>
              <w:rPr>
                <w:rFonts w:hint="eastAsia" w:ascii="仿宋_GB2312" w:hAnsi="仿宋_GB2312" w:eastAsia="仿宋_GB2312" w:cs="仿宋_GB2312"/>
                <w:color w:val="auto"/>
                <w:sz w:val="21"/>
                <w:szCs w:val="21"/>
                <w:lang w:eastAsia="zh-CN"/>
              </w:rPr>
              <w:t>。</w:t>
            </w:r>
          </w:p>
        </w:tc>
      </w:tr>
      <w:tr>
        <w:tblPrEx>
          <w:tblCellMar>
            <w:top w:w="0" w:type="dxa"/>
            <w:left w:w="0" w:type="dxa"/>
            <w:bottom w:w="0" w:type="dxa"/>
            <w:right w:w="0" w:type="dxa"/>
          </w:tblCellMar>
        </w:tblPrEx>
        <w:trPr>
          <w:gridAfter w:val="1"/>
          <w:wAfter w:w="7" w:type="pct"/>
          <w:trHeight w:val="1750" w:hRule="atLeast"/>
          <w:jc w:val="center"/>
        </w:trPr>
        <w:tc>
          <w:tcPr>
            <w:tcW w:w="243" w:type="pct"/>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社会</w:t>
            </w:r>
          </w:p>
          <w:p>
            <w:pPr>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信用</w:t>
            </w:r>
          </w:p>
        </w:tc>
        <w:tc>
          <w:tcPr>
            <w:tcW w:w="237"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奖励情况</w:t>
            </w:r>
          </w:p>
        </w:tc>
        <w:tc>
          <w:tcPr>
            <w:tcW w:w="284"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表扬</w:t>
            </w:r>
          </w:p>
          <w:p>
            <w:pPr>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嘉奖</w:t>
            </w:r>
          </w:p>
        </w:tc>
        <w:tc>
          <w:tcPr>
            <w:tcW w:w="287"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center"/>
              <w:textAlignment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val="en-US" w:eastAsia="zh-CN"/>
              </w:rPr>
              <w:t>5</w:t>
            </w:r>
            <w:r>
              <w:rPr>
                <w:rFonts w:hint="eastAsia" w:ascii="仿宋_GB2312" w:hAnsi="仿宋_GB2312" w:eastAsia="仿宋_GB2312" w:cs="仿宋_GB2312"/>
                <w:color w:val="auto"/>
                <w:sz w:val="21"/>
                <w:szCs w:val="21"/>
                <w:lang w:eastAsia="zh-CN"/>
              </w:rPr>
              <w:t>0</w:t>
            </w:r>
          </w:p>
        </w:tc>
        <w:tc>
          <w:tcPr>
            <w:tcW w:w="267"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rPr>
              <w:t>5</w:t>
            </w:r>
            <w:r>
              <w:rPr>
                <w:rFonts w:hint="eastAsia" w:ascii="仿宋_GB2312" w:hAnsi="仿宋_GB2312" w:eastAsia="仿宋_GB2312" w:cs="仿宋_GB2312"/>
                <w:color w:val="auto"/>
                <w:sz w:val="21"/>
                <w:szCs w:val="21"/>
                <w:lang w:eastAsia="zh-CN"/>
              </w:rPr>
              <w:t>0</w:t>
            </w:r>
            <w:r>
              <w:rPr>
                <w:rFonts w:hint="eastAsia" w:ascii="仿宋_GB2312" w:hAnsi="仿宋_GB2312" w:eastAsia="仿宋_GB2312" w:cs="仿宋_GB2312"/>
                <w:color w:val="auto"/>
                <w:sz w:val="21"/>
                <w:szCs w:val="21"/>
              </w:rPr>
              <w:t>‰</w:t>
            </w:r>
          </w:p>
        </w:tc>
        <w:tc>
          <w:tcPr>
            <w:tcW w:w="1283"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both"/>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受到市级及以上医疗保障部门表扬嘉奖。</w:t>
            </w:r>
          </w:p>
        </w:tc>
        <w:tc>
          <w:tcPr>
            <w:tcW w:w="1308"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both"/>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《青海省公共信用信息条例》。</w:t>
            </w:r>
          </w:p>
        </w:tc>
        <w:tc>
          <w:tcPr>
            <w:tcW w:w="1079" w:type="pc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both"/>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每次总分加10分，最多加</w:t>
            </w:r>
            <w:r>
              <w:rPr>
                <w:rFonts w:hint="eastAsia" w:ascii="仿宋_GB2312" w:hAnsi="仿宋_GB2312" w:eastAsia="仿宋_GB2312" w:cs="仿宋_GB2312"/>
                <w:color w:val="auto"/>
                <w:sz w:val="21"/>
                <w:szCs w:val="21"/>
                <w:lang w:val="en-US" w:eastAsia="zh-CN"/>
              </w:rPr>
              <w:t>5</w:t>
            </w:r>
            <w:r>
              <w:rPr>
                <w:rFonts w:hint="eastAsia" w:ascii="仿宋_GB2312" w:hAnsi="仿宋_GB2312" w:eastAsia="仿宋_GB2312" w:cs="仿宋_GB2312"/>
                <w:color w:val="auto"/>
                <w:sz w:val="21"/>
                <w:szCs w:val="21"/>
                <w:lang w:eastAsia="zh-CN"/>
              </w:rPr>
              <w:t>0分。</w:t>
            </w:r>
          </w:p>
        </w:tc>
      </w:tr>
      <w:tr>
        <w:tblPrEx>
          <w:tblCellMar>
            <w:top w:w="0" w:type="dxa"/>
            <w:left w:w="0" w:type="dxa"/>
            <w:bottom w:w="0" w:type="dxa"/>
            <w:right w:w="0" w:type="dxa"/>
          </w:tblCellMar>
        </w:tblPrEx>
        <w:trPr>
          <w:trHeight w:val="1746" w:hRule="atLeast"/>
          <w:jc w:val="center"/>
        </w:trPr>
        <w:tc>
          <w:tcPr>
            <w:tcW w:w="243" w:type="pct"/>
            <w:tcBorders>
              <w:top w:val="single" w:color="auto" w:sz="4" w:space="0"/>
              <w:left w:val="single" w:color="000000" w:sz="8" w:space="0"/>
              <w:bottom w:val="single" w:color="auto" w:sz="4" w:space="0"/>
              <w:right w:val="single" w:color="000000" w:sz="8" w:space="0"/>
            </w:tcBorders>
            <w:vAlign w:val="center"/>
          </w:tcPr>
          <w:p>
            <w:pPr>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一票</w:t>
            </w:r>
          </w:p>
          <w:p>
            <w:pPr>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否决</w:t>
            </w:r>
          </w:p>
        </w:tc>
        <w:tc>
          <w:tcPr>
            <w:tcW w:w="237" w:type="pct"/>
            <w:tcBorders>
              <w:top w:val="single" w:color="auto" w:sz="4" w:space="0"/>
              <w:left w:val="nil"/>
              <w:bottom w:val="single" w:color="auto" w:sz="4" w:space="0"/>
              <w:right w:val="single" w:color="000000" w:sz="8" w:space="0"/>
            </w:tcBorders>
            <w:vAlign w:val="center"/>
          </w:tcPr>
          <w:p>
            <w:pPr>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司法处理</w:t>
            </w:r>
          </w:p>
        </w:tc>
        <w:tc>
          <w:tcPr>
            <w:tcW w:w="284" w:type="pct"/>
            <w:tcBorders>
              <w:top w:val="single" w:color="auto" w:sz="4" w:space="0"/>
              <w:left w:val="nil"/>
              <w:bottom w:val="single" w:color="auto" w:sz="4" w:space="0"/>
              <w:right w:val="single" w:color="000000" w:sz="8" w:space="0"/>
            </w:tcBorders>
            <w:tcMar>
              <w:top w:w="0" w:type="dxa"/>
              <w:left w:w="108" w:type="dxa"/>
              <w:bottom w:w="0" w:type="dxa"/>
              <w:right w:w="108" w:type="dxa"/>
            </w:tcMar>
            <w:vAlign w:val="center"/>
          </w:tcPr>
          <w:p>
            <w:pPr>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欺诈</w:t>
            </w:r>
          </w:p>
          <w:p>
            <w:pPr>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骗保</w:t>
            </w:r>
          </w:p>
        </w:tc>
        <w:tc>
          <w:tcPr>
            <w:tcW w:w="287" w:type="pct"/>
            <w:tcBorders>
              <w:top w:val="single" w:color="auto" w:sz="4" w:space="0"/>
              <w:left w:val="nil"/>
              <w:bottom w:val="single" w:color="auto" w:sz="4" w:space="0"/>
              <w:right w:val="single" w:color="000000" w:sz="8" w:space="0"/>
            </w:tcBorders>
            <w:tcMar>
              <w:top w:w="0" w:type="dxa"/>
              <w:left w:w="108" w:type="dxa"/>
              <w:bottom w:w="0" w:type="dxa"/>
              <w:right w:w="108" w:type="dxa"/>
            </w:tcMar>
            <w:vAlign w:val="center"/>
          </w:tcPr>
          <w:p>
            <w:pPr>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_</w:t>
            </w:r>
          </w:p>
        </w:tc>
        <w:tc>
          <w:tcPr>
            <w:tcW w:w="267" w:type="pct"/>
            <w:tcBorders>
              <w:top w:val="single" w:color="auto" w:sz="4" w:space="0"/>
              <w:left w:val="nil"/>
              <w:bottom w:val="single" w:color="auto" w:sz="4" w:space="0"/>
              <w:right w:val="single" w:color="000000" w:sz="8" w:space="0"/>
            </w:tcBorders>
            <w:tcMar>
              <w:top w:w="0" w:type="dxa"/>
              <w:left w:w="108" w:type="dxa"/>
              <w:bottom w:w="0" w:type="dxa"/>
              <w:right w:w="108" w:type="dxa"/>
            </w:tcMar>
            <w:vAlign w:val="center"/>
          </w:tcPr>
          <w:p>
            <w:pPr>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_</w:t>
            </w:r>
          </w:p>
        </w:tc>
        <w:tc>
          <w:tcPr>
            <w:tcW w:w="1283" w:type="pct"/>
            <w:tcBorders>
              <w:top w:val="single" w:color="auto" w:sz="4" w:space="0"/>
              <w:left w:val="nil"/>
              <w:bottom w:val="single" w:color="auto" w:sz="4" w:space="0"/>
              <w:right w:val="single" w:color="000000" w:sz="8" w:space="0"/>
            </w:tcBorders>
            <w:tcMar>
              <w:top w:w="0" w:type="dxa"/>
              <w:left w:w="108" w:type="dxa"/>
              <w:bottom w:w="0" w:type="dxa"/>
              <w:right w:w="108" w:type="dxa"/>
            </w:tcMar>
            <w:vAlign w:val="center"/>
          </w:tcPr>
          <w:p>
            <w:pPr>
              <w:jc w:val="both"/>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定点医疗机构及其工作人员因欺诈骗保被追究刑事责任。</w:t>
            </w:r>
          </w:p>
        </w:tc>
        <w:tc>
          <w:tcPr>
            <w:tcW w:w="1308" w:type="pct"/>
            <w:tcBorders>
              <w:top w:val="single" w:color="auto" w:sz="4" w:space="0"/>
              <w:left w:val="nil"/>
              <w:bottom w:val="single" w:color="auto" w:sz="4" w:space="0"/>
              <w:right w:val="single" w:color="000000" w:sz="8" w:space="0"/>
            </w:tcBorders>
            <w:tcMar>
              <w:top w:w="0" w:type="dxa"/>
              <w:left w:w="108" w:type="dxa"/>
              <w:bottom w:w="0" w:type="dxa"/>
              <w:right w:w="108" w:type="dxa"/>
            </w:tcMar>
            <w:vAlign w:val="center"/>
          </w:tcPr>
          <w:p>
            <w:pPr>
              <w:jc w:val="both"/>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《医疗保障基金使用监督管理条例》。</w:t>
            </w:r>
          </w:p>
        </w:tc>
        <w:tc>
          <w:tcPr>
            <w:tcW w:w="1086" w:type="pct"/>
            <w:gridSpan w:val="2"/>
            <w:tcBorders>
              <w:top w:val="single" w:color="auto" w:sz="4" w:space="0"/>
              <w:left w:val="nil"/>
              <w:bottom w:val="single" w:color="auto" w:sz="4" w:space="0"/>
              <w:right w:val="single" w:color="000000" w:sz="8" w:space="0"/>
            </w:tcBorders>
            <w:tcMar>
              <w:top w:w="0" w:type="dxa"/>
              <w:left w:w="108" w:type="dxa"/>
              <w:bottom w:w="0" w:type="dxa"/>
              <w:right w:w="108" w:type="dxa"/>
            </w:tcMar>
            <w:vAlign w:val="center"/>
          </w:tcPr>
          <w:p>
            <w:pPr>
              <w:jc w:val="both"/>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一票否决。</w:t>
            </w:r>
          </w:p>
        </w:tc>
      </w:tr>
      <w:tr>
        <w:tblPrEx>
          <w:tblCellMar>
            <w:top w:w="0" w:type="dxa"/>
            <w:left w:w="0" w:type="dxa"/>
            <w:bottom w:w="0" w:type="dxa"/>
            <w:right w:w="0" w:type="dxa"/>
          </w:tblCellMar>
        </w:tblPrEx>
        <w:trPr>
          <w:trHeight w:val="1997" w:hRule="atLeast"/>
          <w:jc w:val="center"/>
        </w:trPr>
        <w:tc>
          <w:tcPr>
            <w:tcW w:w="243" w:type="pct"/>
            <w:tcBorders>
              <w:top w:val="single" w:color="auto" w:sz="4" w:space="0"/>
              <w:left w:val="single" w:color="000000" w:sz="8" w:space="0"/>
              <w:bottom w:val="single" w:color="auto" w:sz="4" w:space="0"/>
              <w:right w:val="single" w:color="000000" w:sz="8" w:space="0"/>
            </w:tcBorders>
            <w:vAlign w:val="center"/>
          </w:tcPr>
          <w:p>
            <w:pPr>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一票</w:t>
            </w:r>
          </w:p>
          <w:p>
            <w:pPr>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否决</w:t>
            </w:r>
          </w:p>
        </w:tc>
        <w:tc>
          <w:tcPr>
            <w:tcW w:w="237" w:type="pct"/>
            <w:tcBorders>
              <w:top w:val="single" w:color="auto" w:sz="4" w:space="0"/>
              <w:left w:val="nil"/>
              <w:bottom w:val="single" w:color="auto" w:sz="4" w:space="0"/>
              <w:right w:val="single" w:color="000000" w:sz="8" w:space="0"/>
            </w:tcBorders>
            <w:vAlign w:val="center"/>
          </w:tcPr>
          <w:p>
            <w:pPr>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失信被执行人</w:t>
            </w:r>
          </w:p>
        </w:tc>
        <w:tc>
          <w:tcPr>
            <w:tcW w:w="284" w:type="pct"/>
            <w:tcBorders>
              <w:top w:val="single" w:color="auto" w:sz="4" w:space="0"/>
              <w:left w:val="nil"/>
              <w:bottom w:val="single" w:color="auto" w:sz="4" w:space="0"/>
              <w:right w:val="single" w:color="000000" w:sz="8" w:space="0"/>
            </w:tcBorders>
            <w:tcMar>
              <w:top w:w="0" w:type="dxa"/>
              <w:left w:w="108" w:type="dxa"/>
              <w:bottom w:w="0" w:type="dxa"/>
              <w:right w:w="108" w:type="dxa"/>
            </w:tcMar>
            <w:vAlign w:val="center"/>
          </w:tcPr>
          <w:p>
            <w:pPr>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失信被执行人</w:t>
            </w:r>
          </w:p>
        </w:tc>
        <w:tc>
          <w:tcPr>
            <w:tcW w:w="287" w:type="pct"/>
            <w:tcBorders>
              <w:top w:val="single" w:color="auto" w:sz="4" w:space="0"/>
              <w:left w:val="nil"/>
              <w:bottom w:val="single" w:color="auto" w:sz="4" w:space="0"/>
              <w:right w:val="single" w:color="000000" w:sz="8" w:space="0"/>
            </w:tcBorders>
            <w:tcMar>
              <w:top w:w="0" w:type="dxa"/>
              <w:left w:w="108" w:type="dxa"/>
              <w:bottom w:w="0" w:type="dxa"/>
              <w:right w:w="108" w:type="dxa"/>
            </w:tcMar>
            <w:vAlign w:val="center"/>
          </w:tcPr>
          <w:p>
            <w:pPr>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_</w:t>
            </w:r>
          </w:p>
        </w:tc>
        <w:tc>
          <w:tcPr>
            <w:tcW w:w="267" w:type="pct"/>
            <w:tcBorders>
              <w:top w:val="single" w:color="auto" w:sz="4" w:space="0"/>
              <w:left w:val="nil"/>
              <w:bottom w:val="single" w:color="auto" w:sz="4" w:space="0"/>
              <w:right w:val="single" w:color="000000" w:sz="8" w:space="0"/>
            </w:tcBorders>
            <w:tcMar>
              <w:top w:w="0" w:type="dxa"/>
              <w:left w:w="108" w:type="dxa"/>
              <w:bottom w:w="0" w:type="dxa"/>
              <w:right w:w="108" w:type="dxa"/>
            </w:tcMar>
            <w:vAlign w:val="center"/>
          </w:tcPr>
          <w:p>
            <w:pPr>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_</w:t>
            </w:r>
          </w:p>
        </w:tc>
        <w:tc>
          <w:tcPr>
            <w:tcW w:w="1283" w:type="pct"/>
            <w:tcBorders>
              <w:top w:val="single" w:color="auto" w:sz="4" w:space="0"/>
              <w:left w:val="nil"/>
              <w:bottom w:val="single" w:color="auto" w:sz="4" w:space="0"/>
              <w:right w:val="single" w:color="000000" w:sz="8" w:space="0"/>
            </w:tcBorders>
            <w:tcMar>
              <w:top w:w="0" w:type="dxa"/>
              <w:left w:w="108" w:type="dxa"/>
              <w:bottom w:w="0" w:type="dxa"/>
              <w:right w:w="108" w:type="dxa"/>
            </w:tcMar>
            <w:vAlign w:val="center"/>
          </w:tcPr>
          <w:p>
            <w:pPr>
              <w:jc w:val="both"/>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医疗机构或其法人被纳入公共信用系统</w:t>
            </w:r>
            <w:r>
              <w:rPr>
                <w:rFonts w:hint="eastAsia" w:ascii="仿宋_GB2312" w:hAnsi="仿宋_GB2312" w:eastAsia="仿宋_GB2312" w:cs="仿宋_GB2312"/>
                <w:color w:val="auto"/>
                <w:sz w:val="21"/>
                <w:szCs w:val="21"/>
                <w:lang w:val="en-US" w:eastAsia="zh-CN"/>
              </w:rPr>
              <w:t>严重</w:t>
            </w:r>
            <w:r>
              <w:rPr>
                <w:rFonts w:hint="eastAsia" w:ascii="仿宋_GB2312" w:hAnsi="仿宋_GB2312" w:eastAsia="仿宋_GB2312" w:cs="仿宋_GB2312"/>
                <w:color w:val="auto"/>
                <w:sz w:val="21"/>
                <w:szCs w:val="21"/>
              </w:rPr>
              <w:t>失信“黑名单”。</w:t>
            </w:r>
          </w:p>
        </w:tc>
        <w:tc>
          <w:tcPr>
            <w:tcW w:w="1308" w:type="pct"/>
            <w:tcBorders>
              <w:top w:val="single" w:color="auto" w:sz="4" w:space="0"/>
              <w:left w:val="nil"/>
              <w:bottom w:val="single" w:color="auto" w:sz="4" w:space="0"/>
              <w:right w:val="single" w:color="000000" w:sz="8" w:space="0"/>
            </w:tcBorders>
            <w:tcMar>
              <w:top w:w="0" w:type="dxa"/>
              <w:left w:w="108" w:type="dxa"/>
              <w:bottom w:w="0" w:type="dxa"/>
              <w:right w:w="108" w:type="dxa"/>
            </w:tcMar>
            <w:vAlign w:val="center"/>
          </w:tcPr>
          <w:p>
            <w:pPr>
              <w:jc w:val="both"/>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《青海省公共信用信息条例》。</w:t>
            </w:r>
          </w:p>
        </w:tc>
        <w:tc>
          <w:tcPr>
            <w:tcW w:w="1086" w:type="pct"/>
            <w:gridSpan w:val="2"/>
            <w:tcBorders>
              <w:top w:val="single" w:color="auto" w:sz="4" w:space="0"/>
              <w:left w:val="nil"/>
              <w:bottom w:val="single" w:color="auto" w:sz="4" w:space="0"/>
              <w:right w:val="single" w:color="000000" w:sz="8" w:space="0"/>
            </w:tcBorders>
            <w:tcMar>
              <w:top w:w="0" w:type="dxa"/>
              <w:left w:w="108" w:type="dxa"/>
              <w:bottom w:w="0" w:type="dxa"/>
              <w:right w:w="108" w:type="dxa"/>
            </w:tcMar>
            <w:vAlign w:val="center"/>
          </w:tcPr>
          <w:p>
            <w:pPr>
              <w:jc w:val="both"/>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一票否决。</w:t>
            </w:r>
          </w:p>
        </w:tc>
      </w:tr>
      <w:tr>
        <w:tblPrEx>
          <w:tblCellMar>
            <w:top w:w="0" w:type="dxa"/>
            <w:left w:w="0" w:type="dxa"/>
            <w:bottom w:w="0" w:type="dxa"/>
            <w:right w:w="0" w:type="dxa"/>
          </w:tblCellMar>
        </w:tblPrEx>
        <w:trPr>
          <w:trHeight w:val="1774" w:hRule="atLeast"/>
          <w:jc w:val="center"/>
        </w:trPr>
        <w:tc>
          <w:tcPr>
            <w:tcW w:w="243" w:type="pct"/>
            <w:tcBorders>
              <w:top w:val="single" w:color="auto" w:sz="4" w:space="0"/>
              <w:left w:val="single" w:color="000000" w:sz="8" w:space="0"/>
              <w:bottom w:val="single" w:color="auto" w:sz="4" w:space="0"/>
              <w:right w:val="single" w:color="000000" w:sz="8" w:space="0"/>
            </w:tcBorders>
            <w:vAlign w:val="center"/>
          </w:tcPr>
          <w:p>
            <w:pPr>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一票</w:t>
            </w:r>
          </w:p>
          <w:p>
            <w:pPr>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否决</w:t>
            </w:r>
          </w:p>
        </w:tc>
        <w:tc>
          <w:tcPr>
            <w:tcW w:w="237" w:type="pct"/>
            <w:tcBorders>
              <w:top w:val="single" w:color="auto" w:sz="4" w:space="0"/>
              <w:left w:val="nil"/>
              <w:bottom w:val="single" w:color="auto" w:sz="4" w:space="0"/>
              <w:right w:val="single" w:color="000000" w:sz="8" w:space="0"/>
            </w:tcBorders>
            <w:vAlign w:val="center"/>
          </w:tcPr>
          <w:p>
            <w:pPr>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协议处理</w:t>
            </w:r>
          </w:p>
        </w:tc>
        <w:tc>
          <w:tcPr>
            <w:tcW w:w="284" w:type="pct"/>
            <w:tcBorders>
              <w:top w:val="single" w:color="auto" w:sz="4" w:space="0"/>
              <w:left w:val="nil"/>
              <w:bottom w:val="single" w:color="auto" w:sz="4" w:space="0"/>
              <w:right w:val="single" w:color="000000" w:sz="8" w:space="0"/>
            </w:tcBorders>
            <w:tcMar>
              <w:top w:w="0" w:type="dxa"/>
              <w:left w:w="108" w:type="dxa"/>
              <w:bottom w:w="0" w:type="dxa"/>
              <w:right w:w="108" w:type="dxa"/>
            </w:tcMar>
            <w:vAlign w:val="center"/>
          </w:tcPr>
          <w:p>
            <w:pPr>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解除</w:t>
            </w:r>
          </w:p>
          <w:p>
            <w:pPr>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协议</w:t>
            </w:r>
          </w:p>
        </w:tc>
        <w:tc>
          <w:tcPr>
            <w:tcW w:w="287" w:type="pct"/>
            <w:tcBorders>
              <w:top w:val="single" w:color="auto" w:sz="4" w:space="0"/>
              <w:left w:val="nil"/>
              <w:bottom w:val="single" w:color="auto" w:sz="4" w:space="0"/>
              <w:right w:val="single" w:color="000000" w:sz="8" w:space="0"/>
            </w:tcBorders>
            <w:tcMar>
              <w:top w:w="0" w:type="dxa"/>
              <w:left w:w="108" w:type="dxa"/>
              <w:bottom w:w="0" w:type="dxa"/>
              <w:right w:w="108" w:type="dxa"/>
            </w:tcMar>
            <w:vAlign w:val="center"/>
          </w:tcPr>
          <w:p>
            <w:pPr>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_</w:t>
            </w:r>
          </w:p>
        </w:tc>
        <w:tc>
          <w:tcPr>
            <w:tcW w:w="267" w:type="pct"/>
            <w:tcBorders>
              <w:top w:val="single" w:color="auto" w:sz="4" w:space="0"/>
              <w:left w:val="nil"/>
              <w:bottom w:val="single" w:color="auto" w:sz="4" w:space="0"/>
              <w:right w:val="single" w:color="000000" w:sz="8" w:space="0"/>
            </w:tcBorders>
            <w:tcMar>
              <w:top w:w="0" w:type="dxa"/>
              <w:left w:w="108" w:type="dxa"/>
              <w:bottom w:w="0" w:type="dxa"/>
              <w:right w:w="108" w:type="dxa"/>
            </w:tcMar>
            <w:vAlign w:val="center"/>
          </w:tcPr>
          <w:p>
            <w:pPr>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_</w:t>
            </w:r>
          </w:p>
        </w:tc>
        <w:tc>
          <w:tcPr>
            <w:tcW w:w="1283" w:type="pct"/>
            <w:tcBorders>
              <w:top w:val="single" w:color="auto" w:sz="4" w:space="0"/>
              <w:left w:val="nil"/>
              <w:bottom w:val="single" w:color="auto" w:sz="4" w:space="0"/>
              <w:right w:val="single" w:color="000000" w:sz="8" w:space="0"/>
            </w:tcBorders>
            <w:tcMar>
              <w:top w:w="0" w:type="dxa"/>
              <w:left w:w="108" w:type="dxa"/>
              <w:bottom w:w="0" w:type="dxa"/>
              <w:right w:w="108" w:type="dxa"/>
            </w:tcMar>
            <w:vAlign w:val="center"/>
          </w:tcPr>
          <w:p>
            <w:pPr>
              <w:jc w:val="both"/>
              <w:rPr>
                <w:rFonts w:hint="default"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协议期内</w:t>
            </w:r>
            <w:r>
              <w:rPr>
                <w:rFonts w:hint="eastAsia" w:ascii="仿宋_GB2312" w:hAnsi="仿宋_GB2312" w:eastAsia="仿宋_GB2312" w:cs="仿宋_GB2312"/>
                <w:color w:val="auto"/>
                <w:sz w:val="21"/>
                <w:szCs w:val="21"/>
                <w:lang w:eastAsia="zh-CN"/>
              </w:rPr>
              <w:t>医疗机构</w:t>
            </w:r>
            <w:r>
              <w:rPr>
                <w:rFonts w:hint="eastAsia" w:ascii="仿宋_GB2312" w:hAnsi="仿宋_GB2312" w:eastAsia="仿宋_GB2312" w:cs="仿宋_GB2312"/>
                <w:color w:val="auto"/>
                <w:sz w:val="21"/>
                <w:szCs w:val="21"/>
                <w:lang w:val="en-US" w:eastAsia="zh-CN"/>
              </w:rPr>
              <w:t>被取消定点资格</w:t>
            </w:r>
          </w:p>
        </w:tc>
        <w:tc>
          <w:tcPr>
            <w:tcW w:w="1308" w:type="pct"/>
            <w:tcBorders>
              <w:top w:val="single" w:color="auto" w:sz="4" w:space="0"/>
              <w:left w:val="nil"/>
              <w:bottom w:val="single" w:color="auto" w:sz="4" w:space="0"/>
              <w:right w:val="single" w:color="000000" w:sz="8" w:space="0"/>
            </w:tcBorders>
            <w:tcMar>
              <w:top w:w="0" w:type="dxa"/>
              <w:left w:w="108" w:type="dxa"/>
              <w:bottom w:w="0" w:type="dxa"/>
              <w:right w:w="108" w:type="dxa"/>
            </w:tcMar>
            <w:vAlign w:val="center"/>
          </w:tcPr>
          <w:p>
            <w:pPr>
              <w:jc w:val="both"/>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《医疗保障基金使用监督管理条例》。</w:t>
            </w:r>
          </w:p>
        </w:tc>
        <w:tc>
          <w:tcPr>
            <w:tcW w:w="1086" w:type="pct"/>
            <w:gridSpan w:val="2"/>
            <w:tcBorders>
              <w:top w:val="single" w:color="auto" w:sz="4" w:space="0"/>
              <w:left w:val="nil"/>
              <w:bottom w:val="single" w:color="auto" w:sz="4" w:space="0"/>
              <w:right w:val="single" w:color="000000" w:sz="8" w:space="0"/>
            </w:tcBorders>
            <w:tcMar>
              <w:top w:w="0" w:type="dxa"/>
              <w:left w:w="108" w:type="dxa"/>
              <w:bottom w:w="0" w:type="dxa"/>
              <w:right w:w="108" w:type="dxa"/>
            </w:tcMar>
            <w:vAlign w:val="center"/>
          </w:tcPr>
          <w:p>
            <w:pPr>
              <w:jc w:val="both"/>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一票否决。</w:t>
            </w:r>
          </w:p>
        </w:tc>
      </w:tr>
      <w:tr>
        <w:tblPrEx>
          <w:tblCellMar>
            <w:top w:w="0" w:type="dxa"/>
            <w:left w:w="0" w:type="dxa"/>
            <w:bottom w:w="0" w:type="dxa"/>
            <w:right w:w="0" w:type="dxa"/>
          </w:tblCellMar>
        </w:tblPrEx>
        <w:trPr>
          <w:trHeight w:val="1655" w:hRule="atLeast"/>
          <w:jc w:val="center"/>
        </w:trPr>
        <w:tc>
          <w:tcPr>
            <w:tcW w:w="243" w:type="pct"/>
            <w:tcBorders>
              <w:top w:val="single" w:color="auto" w:sz="4" w:space="0"/>
              <w:left w:val="single" w:color="000000" w:sz="8" w:space="0"/>
              <w:bottom w:val="single" w:color="auto" w:sz="4" w:space="0"/>
              <w:right w:val="single" w:color="000000" w:sz="8" w:space="0"/>
            </w:tcBorders>
            <w:vAlign w:val="center"/>
          </w:tcPr>
          <w:p>
            <w:pPr>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一票</w:t>
            </w:r>
          </w:p>
          <w:p>
            <w:pPr>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否决</w:t>
            </w:r>
          </w:p>
        </w:tc>
        <w:tc>
          <w:tcPr>
            <w:tcW w:w="237" w:type="pct"/>
            <w:tcBorders>
              <w:top w:val="single" w:color="auto" w:sz="4" w:space="0"/>
              <w:left w:val="nil"/>
              <w:bottom w:val="single" w:color="auto" w:sz="4" w:space="0"/>
              <w:right w:val="single" w:color="000000" w:sz="8" w:space="0"/>
            </w:tcBorders>
            <w:vAlign w:val="center"/>
          </w:tcPr>
          <w:p>
            <w:pPr>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违规移交</w:t>
            </w:r>
          </w:p>
        </w:tc>
        <w:tc>
          <w:tcPr>
            <w:tcW w:w="284" w:type="pct"/>
            <w:tcBorders>
              <w:top w:val="single" w:color="auto" w:sz="4" w:space="0"/>
              <w:left w:val="nil"/>
              <w:bottom w:val="single" w:color="auto" w:sz="4" w:space="0"/>
              <w:right w:val="single" w:color="000000" w:sz="8" w:space="0"/>
            </w:tcBorders>
            <w:tcMar>
              <w:top w:w="0" w:type="dxa"/>
              <w:left w:w="108" w:type="dxa"/>
              <w:bottom w:w="0" w:type="dxa"/>
              <w:right w:w="108" w:type="dxa"/>
            </w:tcMar>
            <w:vAlign w:val="center"/>
          </w:tcPr>
          <w:p>
            <w:pPr>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违规移交情况</w:t>
            </w:r>
          </w:p>
        </w:tc>
        <w:tc>
          <w:tcPr>
            <w:tcW w:w="287" w:type="pct"/>
            <w:tcBorders>
              <w:top w:val="single" w:color="auto" w:sz="4" w:space="0"/>
              <w:left w:val="nil"/>
              <w:bottom w:val="single" w:color="auto" w:sz="4" w:space="0"/>
              <w:right w:val="single" w:color="000000" w:sz="8" w:space="0"/>
            </w:tcBorders>
            <w:tcMar>
              <w:top w:w="0" w:type="dxa"/>
              <w:left w:w="108" w:type="dxa"/>
              <w:bottom w:w="0" w:type="dxa"/>
              <w:right w:w="108" w:type="dxa"/>
            </w:tcMar>
            <w:vAlign w:val="center"/>
          </w:tcPr>
          <w:p>
            <w:pPr>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_</w:t>
            </w:r>
          </w:p>
        </w:tc>
        <w:tc>
          <w:tcPr>
            <w:tcW w:w="267" w:type="pct"/>
            <w:tcBorders>
              <w:top w:val="single" w:color="auto" w:sz="4" w:space="0"/>
              <w:left w:val="nil"/>
              <w:bottom w:val="single" w:color="auto" w:sz="4" w:space="0"/>
              <w:right w:val="single" w:color="000000" w:sz="8" w:space="0"/>
            </w:tcBorders>
            <w:tcMar>
              <w:top w:w="0" w:type="dxa"/>
              <w:left w:w="108" w:type="dxa"/>
              <w:bottom w:w="0" w:type="dxa"/>
              <w:right w:w="108" w:type="dxa"/>
            </w:tcMar>
            <w:vAlign w:val="center"/>
          </w:tcPr>
          <w:p>
            <w:pPr>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_</w:t>
            </w:r>
          </w:p>
        </w:tc>
        <w:tc>
          <w:tcPr>
            <w:tcW w:w="1283" w:type="pct"/>
            <w:tcBorders>
              <w:top w:val="single" w:color="auto" w:sz="4" w:space="0"/>
              <w:left w:val="nil"/>
              <w:bottom w:val="single" w:color="auto" w:sz="4" w:space="0"/>
              <w:right w:val="single" w:color="000000" w:sz="8" w:space="0"/>
            </w:tcBorders>
            <w:tcMar>
              <w:top w:w="0" w:type="dxa"/>
              <w:left w:w="108" w:type="dxa"/>
              <w:bottom w:w="0" w:type="dxa"/>
              <w:right w:w="108" w:type="dxa"/>
            </w:tcMar>
            <w:vAlign w:val="center"/>
          </w:tcPr>
          <w:p>
            <w:pPr>
              <w:jc w:val="both"/>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涉嫌犯罪或违反其他法律法规的移交情况。</w:t>
            </w:r>
          </w:p>
        </w:tc>
        <w:tc>
          <w:tcPr>
            <w:tcW w:w="1308" w:type="pct"/>
            <w:tcBorders>
              <w:top w:val="single" w:color="auto" w:sz="4" w:space="0"/>
              <w:left w:val="nil"/>
              <w:bottom w:val="single" w:color="auto" w:sz="4" w:space="0"/>
              <w:right w:val="single" w:color="000000" w:sz="8" w:space="0"/>
            </w:tcBorders>
            <w:tcMar>
              <w:top w:w="0" w:type="dxa"/>
              <w:left w:w="108" w:type="dxa"/>
              <w:bottom w:w="0" w:type="dxa"/>
              <w:right w:w="108" w:type="dxa"/>
            </w:tcMar>
            <w:vAlign w:val="center"/>
          </w:tcPr>
          <w:p>
            <w:pPr>
              <w:jc w:val="both"/>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《医疗保障基金使用监督管理条例》。</w:t>
            </w:r>
          </w:p>
          <w:p>
            <w:pPr>
              <w:jc w:val="both"/>
              <w:rPr>
                <w:rFonts w:hint="eastAsia" w:ascii="仿宋_GB2312" w:hAnsi="仿宋_GB2312" w:eastAsia="仿宋_GB2312" w:cs="仿宋_GB2312"/>
                <w:color w:val="auto"/>
                <w:sz w:val="21"/>
                <w:szCs w:val="21"/>
                <w:lang w:eastAsia="zh-CN"/>
              </w:rPr>
            </w:pPr>
          </w:p>
        </w:tc>
        <w:tc>
          <w:tcPr>
            <w:tcW w:w="1086" w:type="pct"/>
            <w:gridSpan w:val="2"/>
            <w:tcBorders>
              <w:top w:val="single" w:color="auto" w:sz="4" w:space="0"/>
              <w:left w:val="nil"/>
              <w:bottom w:val="single" w:color="auto" w:sz="4" w:space="0"/>
              <w:right w:val="single" w:color="000000" w:sz="8" w:space="0"/>
            </w:tcBorders>
            <w:tcMar>
              <w:top w:w="0" w:type="dxa"/>
              <w:left w:w="108" w:type="dxa"/>
              <w:bottom w:w="0" w:type="dxa"/>
              <w:right w:w="108" w:type="dxa"/>
            </w:tcMar>
            <w:vAlign w:val="center"/>
          </w:tcPr>
          <w:p>
            <w:pPr>
              <w:jc w:val="both"/>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一票否决。</w:t>
            </w:r>
          </w:p>
        </w:tc>
      </w:tr>
    </w:tbl>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C1BDCF8-4DD8-4F67-9F61-C9FD2393F633}"/>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0B97295F-E03D-4ADF-8144-0B1FA9866CB4}"/>
  </w:font>
  <w:font w:name="方正小标宋简体">
    <w:panose1 w:val="03000509000000000000"/>
    <w:charset w:val="86"/>
    <w:family w:val="script"/>
    <w:pitch w:val="default"/>
    <w:sig w:usb0="00000001" w:usb1="080E0000" w:usb2="00000000" w:usb3="00000000" w:csb0="00040000" w:csb1="00000000"/>
    <w:embedRegular r:id="rId3" w:fontKey="{2AAC0C3A-3CE6-41BE-935B-662EE26CFFB4}"/>
  </w:font>
  <w:font w:name="仿宋_GB2312">
    <w:panose1 w:val="02010609030101010101"/>
    <w:charset w:val="86"/>
    <w:family w:val="auto"/>
    <w:pitch w:val="default"/>
    <w:sig w:usb0="00000001" w:usb1="080E0000" w:usb2="00000000" w:usb3="00000000" w:csb0="00040000" w:csb1="00000000"/>
    <w:embedRegular r:id="rId4" w:fontKey="{0801562F-7E97-45BB-B6C9-329A467CC4F7}"/>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QxYzM5NGE4ZTM3NjY2MjdkZWY5MmNmYzA2MWJjM2IifQ=="/>
  </w:docVars>
  <w:rsids>
    <w:rsidRoot w:val="231D7803"/>
    <w:rsid w:val="003F3AA8"/>
    <w:rsid w:val="00F9257D"/>
    <w:rsid w:val="01836677"/>
    <w:rsid w:val="01EE5E5A"/>
    <w:rsid w:val="02C10E79"/>
    <w:rsid w:val="031B34BD"/>
    <w:rsid w:val="036E2EB8"/>
    <w:rsid w:val="03A76077"/>
    <w:rsid w:val="03E70DB3"/>
    <w:rsid w:val="03FD4132"/>
    <w:rsid w:val="04E0764C"/>
    <w:rsid w:val="05004C30"/>
    <w:rsid w:val="059942D7"/>
    <w:rsid w:val="05DD1BF7"/>
    <w:rsid w:val="06881D74"/>
    <w:rsid w:val="06B55198"/>
    <w:rsid w:val="07524795"/>
    <w:rsid w:val="07A93F86"/>
    <w:rsid w:val="083E2F6B"/>
    <w:rsid w:val="08DF1698"/>
    <w:rsid w:val="0A1C72DC"/>
    <w:rsid w:val="0BB51797"/>
    <w:rsid w:val="0BF724D8"/>
    <w:rsid w:val="0BFF2C9D"/>
    <w:rsid w:val="0D1129FD"/>
    <w:rsid w:val="0D554FDF"/>
    <w:rsid w:val="0E006FB6"/>
    <w:rsid w:val="0E39315A"/>
    <w:rsid w:val="0EC73345"/>
    <w:rsid w:val="0F8971A0"/>
    <w:rsid w:val="11590387"/>
    <w:rsid w:val="116A6B7F"/>
    <w:rsid w:val="120945EA"/>
    <w:rsid w:val="12582E7C"/>
    <w:rsid w:val="12C02EFB"/>
    <w:rsid w:val="1367395A"/>
    <w:rsid w:val="13AC2C1C"/>
    <w:rsid w:val="13BB7B66"/>
    <w:rsid w:val="14D34118"/>
    <w:rsid w:val="152B5F69"/>
    <w:rsid w:val="15DB44F0"/>
    <w:rsid w:val="174560C4"/>
    <w:rsid w:val="179E3336"/>
    <w:rsid w:val="18510D3B"/>
    <w:rsid w:val="18DC65B5"/>
    <w:rsid w:val="1B974A15"/>
    <w:rsid w:val="1B9B2757"/>
    <w:rsid w:val="1C3A1603"/>
    <w:rsid w:val="20BE7E16"/>
    <w:rsid w:val="231D7803"/>
    <w:rsid w:val="241412F8"/>
    <w:rsid w:val="2446522A"/>
    <w:rsid w:val="250F386E"/>
    <w:rsid w:val="27232090"/>
    <w:rsid w:val="2756664D"/>
    <w:rsid w:val="28F96D0F"/>
    <w:rsid w:val="292E2A5F"/>
    <w:rsid w:val="296E27BA"/>
    <w:rsid w:val="2B3B360F"/>
    <w:rsid w:val="2C953BB5"/>
    <w:rsid w:val="2CCA2406"/>
    <w:rsid w:val="2FB01C5F"/>
    <w:rsid w:val="319D5866"/>
    <w:rsid w:val="31E542D4"/>
    <w:rsid w:val="333F5C66"/>
    <w:rsid w:val="3647730B"/>
    <w:rsid w:val="36AE05F5"/>
    <w:rsid w:val="374C459E"/>
    <w:rsid w:val="389D76B7"/>
    <w:rsid w:val="38F57AFE"/>
    <w:rsid w:val="39FF6E13"/>
    <w:rsid w:val="3A1065DC"/>
    <w:rsid w:val="3BB13FB2"/>
    <w:rsid w:val="3CE60F00"/>
    <w:rsid w:val="3D7A6BFB"/>
    <w:rsid w:val="3DBB413B"/>
    <w:rsid w:val="3E134C2F"/>
    <w:rsid w:val="3E86299B"/>
    <w:rsid w:val="412E12DF"/>
    <w:rsid w:val="41D17C4C"/>
    <w:rsid w:val="42456E8A"/>
    <w:rsid w:val="42F02AD9"/>
    <w:rsid w:val="43792ACE"/>
    <w:rsid w:val="45230F44"/>
    <w:rsid w:val="470D3C59"/>
    <w:rsid w:val="477A0352"/>
    <w:rsid w:val="497A70A7"/>
    <w:rsid w:val="4AC565F9"/>
    <w:rsid w:val="4CA5673B"/>
    <w:rsid w:val="4CCF3F1F"/>
    <w:rsid w:val="4CE22604"/>
    <w:rsid w:val="4E545093"/>
    <w:rsid w:val="509273D8"/>
    <w:rsid w:val="512C2F2E"/>
    <w:rsid w:val="520B5239"/>
    <w:rsid w:val="52A60DDC"/>
    <w:rsid w:val="53786DFC"/>
    <w:rsid w:val="54D264E2"/>
    <w:rsid w:val="56E11E48"/>
    <w:rsid w:val="5741418D"/>
    <w:rsid w:val="57672F12"/>
    <w:rsid w:val="584B2834"/>
    <w:rsid w:val="59914E4A"/>
    <w:rsid w:val="59B240D3"/>
    <w:rsid w:val="59EE7217"/>
    <w:rsid w:val="5B8F0C89"/>
    <w:rsid w:val="5D1C6071"/>
    <w:rsid w:val="5D261179"/>
    <w:rsid w:val="5D485594"/>
    <w:rsid w:val="5DE3706A"/>
    <w:rsid w:val="5E416DC1"/>
    <w:rsid w:val="5E954808"/>
    <w:rsid w:val="5FFB68ED"/>
    <w:rsid w:val="6172476A"/>
    <w:rsid w:val="621E78AA"/>
    <w:rsid w:val="63640C4D"/>
    <w:rsid w:val="641E0DFC"/>
    <w:rsid w:val="6484198E"/>
    <w:rsid w:val="64994927"/>
    <w:rsid w:val="64A84B6A"/>
    <w:rsid w:val="68703E4A"/>
    <w:rsid w:val="697310BC"/>
    <w:rsid w:val="6A154A4F"/>
    <w:rsid w:val="6A4D444B"/>
    <w:rsid w:val="6AC6238E"/>
    <w:rsid w:val="6D354EC0"/>
    <w:rsid w:val="6D4948AB"/>
    <w:rsid w:val="6D6261FE"/>
    <w:rsid w:val="6E217E67"/>
    <w:rsid w:val="70347748"/>
    <w:rsid w:val="70AC766E"/>
    <w:rsid w:val="728704B4"/>
    <w:rsid w:val="734142AB"/>
    <w:rsid w:val="73A429A0"/>
    <w:rsid w:val="741713C4"/>
    <w:rsid w:val="74816CFF"/>
    <w:rsid w:val="76F61765"/>
    <w:rsid w:val="771A52E4"/>
    <w:rsid w:val="773E3C3B"/>
    <w:rsid w:val="795D1F6F"/>
    <w:rsid w:val="7F276A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nhideWhenUsed/>
    <w:qFormat/>
    <w:uiPriority w:val="99"/>
    <w:pPr>
      <w:spacing w:before="100" w:beforeAutospacing="1" w:after="100" w:afterAutospacing="1"/>
    </w:pPr>
    <w:rPr>
      <w:rFonts w:ascii="宋体" w:hAnsi="宋体" w:eastAsia="宋体" w:cs="宋体"/>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6990</Words>
  <Characters>7300</Characters>
  <Lines>0</Lines>
  <Paragraphs>0</Paragraphs>
  <TotalTime>2</TotalTime>
  <ScaleCrop>false</ScaleCrop>
  <LinksUpToDate>false</LinksUpToDate>
  <CharactersWithSpaces>7360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2022-10-20T12:00:00Z</dcterms:created>
  <dc:creator>李顺</dc:creator>
  <cp:lastModifiedBy>闫小墨</cp:lastModifiedBy>
  <cp:lastPrinted>2022-11-08T04:21:00Z</cp:lastPrinted>
  <dcterms:modified xsi:type="dcterms:W3CDTF">2022-11-08T04:21:42Z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C0C1769993F440159FE83CF6BD80FE98</vt:lpwstr>
  </property>
</Properties>
</file>